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8E40A3C" w:rsidR="009D60D5" w:rsidRPr="001B5605" w:rsidRDefault="00A26ADA"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AD0F2E">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1B45F53F" w:rsidR="00C2145A" w:rsidRPr="00AD0F2E" w:rsidRDefault="00C2145A" w:rsidP="00357B46">
            <w:pPr>
              <w:rPr>
                <w:rFonts w:asciiTheme="minorHAnsi" w:hAnsiTheme="minorHAnsi"/>
                <w:b/>
                <w:sz w:val="24"/>
              </w:rPr>
            </w:pPr>
            <w:r w:rsidRPr="00AD0F2E">
              <w:rPr>
                <w:rFonts w:asciiTheme="minorHAnsi" w:hAnsiTheme="minorHAnsi"/>
                <w:b/>
                <w:bCs/>
                <w:smallCaps/>
                <w:sz w:val="24"/>
                <w:lang w:val="en"/>
              </w:rPr>
              <w:t xml:space="preserve">Number: </w:t>
            </w:r>
            <w:r w:rsidR="00AD0F2E" w:rsidRPr="00AD0F2E">
              <w:rPr>
                <w:rFonts w:asciiTheme="minorHAnsi" w:hAnsiTheme="minorHAnsi"/>
                <w:bCs/>
                <w:smallCaps/>
                <w:sz w:val="24"/>
                <w:lang w:val="en"/>
              </w:rPr>
              <w:t>25-MR-7300</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8270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4FC15631" w:rsidR="00741D2D" w:rsidRPr="007B0A13" w:rsidRDefault="002B1D4A" w:rsidP="00996FEA">
            <w:pPr>
              <w:rPr>
                <w:rFonts w:asciiTheme="minorHAnsi" w:hAnsiTheme="minorHAnsi" w:cs="Arial"/>
                <w:sz w:val="24"/>
                <w:lang w:val="en-GB"/>
              </w:rPr>
            </w:pPr>
            <w:r w:rsidRPr="002B1D4A">
              <w:rPr>
                <w:rFonts w:asciiTheme="minorHAnsi" w:hAnsiTheme="minorHAnsi" w:cs="Arial"/>
                <w:iCs/>
                <w:sz w:val="24"/>
                <w:lang w:val="en"/>
              </w:rPr>
              <w:t>Policy and technical support for the repowering of 1</w:t>
            </w:r>
            <w:r w:rsidRPr="00A42B73">
              <w:rPr>
                <w:rFonts w:asciiTheme="minorHAnsi" w:hAnsiTheme="minorHAnsi" w:cs="Arial"/>
                <w:iCs/>
                <w:sz w:val="24"/>
                <w:vertAlign w:val="superscript"/>
                <w:lang w:val="en"/>
              </w:rPr>
              <w:t>st</w:t>
            </w:r>
            <w:r w:rsidR="00A42B73">
              <w:rPr>
                <w:rFonts w:asciiTheme="minorHAnsi" w:hAnsiTheme="minorHAnsi" w:cs="Arial"/>
                <w:iCs/>
                <w:sz w:val="24"/>
                <w:lang w:val="en"/>
              </w:rPr>
              <w:t xml:space="preserve"> </w:t>
            </w:r>
            <w:r w:rsidRPr="002B1D4A">
              <w:rPr>
                <w:rFonts w:asciiTheme="minorHAnsi" w:hAnsiTheme="minorHAnsi" w:cs="Arial"/>
                <w:iCs/>
                <w:sz w:val="24"/>
                <w:lang w:val="en"/>
              </w:rPr>
              <w:t xml:space="preserve"> generation wind power plants in Sri Lanka</w:t>
            </w:r>
            <w:r w:rsidR="00D32C55">
              <w:rPr>
                <w:rFonts w:asciiTheme="minorHAnsi" w:hAnsiTheme="minorHAnsi" w:cs="Arial"/>
                <w:iCs/>
                <w:sz w:val="24"/>
                <w:lang w:val="en"/>
              </w:rPr>
              <w:t>.</w:t>
            </w:r>
          </w:p>
        </w:tc>
      </w:tr>
      <w:tr w:rsidR="008714BB" w:rsidRPr="00D82702"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0950BCCF" w:rsidR="00741D2D" w:rsidRPr="00263FD0" w:rsidRDefault="007B0A13" w:rsidP="00E953FE">
            <w:pPr>
              <w:rPr>
                <w:rFonts w:asciiTheme="minorHAnsi" w:hAnsiTheme="minorHAnsi" w:cs="Arial"/>
                <w:sz w:val="24"/>
                <w:lang w:val="en-GB"/>
              </w:rPr>
            </w:pPr>
            <w:r w:rsidRPr="007B0A13">
              <w:rPr>
                <w:rFonts w:asciiTheme="minorHAnsi" w:hAnsiTheme="minorHAnsi" w:cs="Arial"/>
                <w:i/>
                <w:iCs/>
                <w:sz w:val="24"/>
                <w:highlight w:val="yellow"/>
                <w:lang w:val="en"/>
              </w:rPr>
              <w:t>TBC</w:t>
            </w:r>
          </w:p>
        </w:tc>
      </w:tr>
      <w:tr w:rsidR="008714BB" w:rsidRPr="00D82702"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82702" w14:paraId="6400F2BE" w14:textId="77777777" w:rsidTr="003D7CE1">
              <w:trPr>
                <w:trHeight w:val="702"/>
              </w:trPr>
              <w:tc>
                <w:tcPr>
                  <w:tcW w:w="4644" w:type="dxa"/>
                  <w:shd w:val="clear" w:color="auto" w:fill="D9D9D9" w:themeFill="background1" w:themeFillShade="D9"/>
                  <w:vAlign w:val="center"/>
                </w:tcPr>
                <w:p w14:paraId="1D29B491" w14:textId="495A25AD"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sidR="007B0A13" w:rsidRPr="007B0A13">
                    <w:rPr>
                      <w:rFonts w:asciiTheme="minorHAnsi" w:hAnsiTheme="minorHAnsi"/>
                      <w:smallCaps/>
                      <w:sz w:val="22"/>
                      <w:szCs w:val="22"/>
                      <w:highlight w:val="yellow"/>
                      <w:lang w:val="en"/>
                    </w:rPr>
                    <w:t>TBC</w:t>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1B67C184" w:rsidR="00554974" w:rsidRPr="00661C08" w:rsidRDefault="00661C08"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801ECC" w:rsidRPr="00661C08">
              <w:rPr>
                <w:rFonts w:asciiTheme="minorHAnsi" w:hAnsiTheme="minorHAnsi"/>
                <w:sz w:val="22"/>
                <w:szCs w:val="22"/>
                <w:lang w:val="en"/>
              </w:rPr>
              <w:t>adapted procedure in application of Articles L. 2123-1 an</w:t>
            </w:r>
            <w:r>
              <w:rPr>
                <w:rFonts w:asciiTheme="minorHAnsi" w:hAnsiTheme="minorHAnsi"/>
                <w:sz w:val="22"/>
                <w:szCs w:val="22"/>
                <w:lang w:val="en"/>
              </w:rPr>
              <w:t>d R. 2123-1 to R. 2123-7 of CCP.</w:t>
            </w:r>
          </w:p>
          <w:p w14:paraId="012CC13F" w14:textId="2600BC05"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3864F909"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853057">
              <w:rPr>
                <w:noProof/>
                <w:webHidden/>
              </w:rPr>
              <w:t>4</w:t>
            </w:r>
            <w:r w:rsidR="00546580">
              <w:rPr>
                <w:noProof/>
                <w:webHidden/>
              </w:rPr>
              <w:fldChar w:fldCharType="end"/>
            </w:r>
          </w:hyperlink>
        </w:p>
        <w:p w14:paraId="5DCE6356" w14:textId="257AA540"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853057">
              <w:rPr>
                <w:noProof/>
                <w:webHidden/>
              </w:rPr>
              <w:t>5</w:t>
            </w:r>
            <w:r w:rsidR="00546580">
              <w:rPr>
                <w:noProof/>
                <w:webHidden/>
              </w:rPr>
              <w:fldChar w:fldCharType="end"/>
            </w:r>
          </w:hyperlink>
        </w:p>
        <w:p w14:paraId="51C5CA69" w14:textId="58485E7D"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853057">
              <w:rPr>
                <w:noProof/>
                <w:webHidden/>
              </w:rPr>
              <w:t>5</w:t>
            </w:r>
            <w:r w:rsidR="00546580">
              <w:rPr>
                <w:noProof/>
                <w:webHidden/>
              </w:rPr>
              <w:fldChar w:fldCharType="end"/>
            </w:r>
          </w:hyperlink>
        </w:p>
        <w:p w14:paraId="2BF2F4C3" w14:textId="05A05B08"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853057">
              <w:rPr>
                <w:noProof/>
                <w:webHidden/>
              </w:rPr>
              <w:t>6</w:t>
            </w:r>
            <w:r w:rsidR="00546580">
              <w:rPr>
                <w:noProof/>
                <w:webHidden/>
              </w:rPr>
              <w:fldChar w:fldCharType="end"/>
            </w:r>
          </w:hyperlink>
        </w:p>
        <w:p w14:paraId="22A4B5C8" w14:textId="2FEA1EBA" w:rsidR="00546580" w:rsidRDefault="00A26ADA">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853057">
              <w:rPr>
                <w:noProof/>
                <w:webHidden/>
              </w:rPr>
              <w:t>6</w:t>
            </w:r>
            <w:r w:rsidR="00546580">
              <w:rPr>
                <w:noProof/>
                <w:webHidden/>
              </w:rPr>
              <w:fldChar w:fldCharType="end"/>
            </w:r>
          </w:hyperlink>
        </w:p>
        <w:p w14:paraId="23DE8470" w14:textId="5B2D69A5" w:rsidR="00546580" w:rsidRDefault="00A26ADA">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853057">
              <w:rPr>
                <w:noProof/>
                <w:webHidden/>
              </w:rPr>
              <w:t>7</w:t>
            </w:r>
            <w:r w:rsidR="00546580">
              <w:rPr>
                <w:noProof/>
                <w:webHidden/>
              </w:rPr>
              <w:fldChar w:fldCharType="end"/>
            </w:r>
          </w:hyperlink>
        </w:p>
        <w:p w14:paraId="2A8B7ACE" w14:textId="035639B9" w:rsidR="00546580" w:rsidRDefault="00A26ADA">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853057">
              <w:rPr>
                <w:noProof/>
                <w:webHidden/>
              </w:rPr>
              <w:t>7</w:t>
            </w:r>
            <w:r w:rsidR="00546580">
              <w:rPr>
                <w:noProof/>
                <w:webHidden/>
              </w:rPr>
              <w:fldChar w:fldCharType="end"/>
            </w:r>
          </w:hyperlink>
        </w:p>
        <w:p w14:paraId="43F2FA91" w14:textId="4821772D" w:rsidR="00546580" w:rsidRDefault="00A26ADA">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853057">
              <w:rPr>
                <w:noProof/>
                <w:webHidden/>
              </w:rPr>
              <w:t>7</w:t>
            </w:r>
            <w:r w:rsidR="00546580">
              <w:rPr>
                <w:noProof/>
                <w:webHidden/>
              </w:rPr>
              <w:fldChar w:fldCharType="end"/>
            </w:r>
          </w:hyperlink>
        </w:p>
        <w:p w14:paraId="5B835C53" w14:textId="78C9F6C8" w:rsidR="00546580" w:rsidRDefault="00A26ADA">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853057">
              <w:rPr>
                <w:noProof/>
                <w:webHidden/>
              </w:rPr>
              <w:t>8</w:t>
            </w:r>
            <w:r w:rsidR="00546580">
              <w:rPr>
                <w:noProof/>
                <w:webHidden/>
              </w:rPr>
              <w:fldChar w:fldCharType="end"/>
            </w:r>
          </w:hyperlink>
        </w:p>
        <w:p w14:paraId="5979B936" w14:textId="530127BE"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853057">
              <w:rPr>
                <w:noProof/>
                <w:webHidden/>
              </w:rPr>
              <w:t>8</w:t>
            </w:r>
            <w:r w:rsidR="00546580">
              <w:rPr>
                <w:noProof/>
                <w:webHidden/>
              </w:rPr>
              <w:fldChar w:fldCharType="end"/>
            </w:r>
          </w:hyperlink>
        </w:p>
        <w:p w14:paraId="2DC33D63" w14:textId="38FB6560" w:rsidR="00546580" w:rsidRDefault="00A26ADA">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853057">
              <w:rPr>
                <w:noProof/>
                <w:webHidden/>
              </w:rPr>
              <w:t>8</w:t>
            </w:r>
            <w:r w:rsidR="00546580">
              <w:rPr>
                <w:noProof/>
                <w:webHidden/>
              </w:rPr>
              <w:fldChar w:fldCharType="end"/>
            </w:r>
          </w:hyperlink>
        </w:p>
        <w:p w14:paraId="3616C09A" w14:textId="2CE90532" w:rsidR="00546580" w:rsidRDefault="00A26ADA">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853057">
              <w:rPr>
                <w:noProof/>
                <w:webHidden/>
              </w:rPr>
              <w:t>11</w:t>
            </w:r>
            <w:r w:rsidR="00546580">
              <w:rPr>
                <w:noProof/>
                <w:webHidden/>
              </w:rPr>
              <w:fldChar w:fldCharType="end"/>
            </w:r>
          </w:hyperlink>
        </w:p>
        <w:p w14:paraId="21E7B248" w14:textId="78BA4FFD" w:rsidR="00546580" w:rsidRDefault="00A26ADA">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853057">
              <w:rPr>
                <w:noProof/>
                <w:webHidden/>
              </w:rPr>
              <w:t>11</w:t>
            </w:r>
            <w:r w:rsidR="00546580">
              <w:rPr>
                <w:noProof/>
                <w:webHidden/>
              </w:rPr>
              <w:fldChar w:fldCharType="end"/>
            </w:r>
          </w:hyperlink>
        </w:p>
        <w:p w14:paraId="50AF41EE" w14:textId="4EF377BB" w:rsidR="00546580" w:rsidRDefault="00A26ADA">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853057">
              <w:rPr>
                <w:noProof/>
                <w:webHidden/>
              </w:rPr>
              <w:t>11</w:t>
            </w:r>
            <w:r w:rsidR="00546580">
              <w:rPr>
                <w:noProof/>
                <w:webHidden/>
              </w:rPr>
              <w:fldChar w:fldCharType="end"/>
            </w:r>
          </w:hyperlink>
        </w:p>
        <w:p w14:paraId="6E813621" w14:textId="125FAA3B" w:rsidR="00546580" w:rsidRDefault="00A26ADA">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853057">
              <w:rPr>
                <w:noProof/>
                <w:webHidden/>
              </w:rPr>
              <w:t>12</w:t>
            </w:r>
            <w:r w:rsidR="00546580">
              <w:rPr>
                <w:noProof/>
                <w:webHidden/>
              </w:rPr>
              <w:fldChar w:fldCharType="end"/>
            </w:r>
          </w:hyperlink>
        </w:p>
        <w:p w14:paraId="6E0674B0" w14:textId="07CCDBF1" w:rsidR="00546580" w:rsidRDefault="00A26ADA">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853057">
              <w:rPr>
                <w:noProof/>
                <w:webHidden/>
              </w:rPr>
              <w:t>12</w:t>
            </w:r>
            <w:r w:rsidR="00546580">
              <w:rPr>
                <w:noProof/>
                <w:webHidden/>
              </w:rPr>
              <w:fldChar w:fldCharType="end"/>
            </w:r>
          </w:hyperlink>
        </w:p>
        <w:p w14:paraId="08B788F0" w14:textId="7D56BE36" w:rsidR="00546580" w:rsidRDefault="00A26ADA">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040D228D" w14:textId="488F93D0" w:rsidR="00546580" w:rsidRDefault="00A26ADA">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06F33A04" w14:textId="27086961" w:rsidR="00546580" w:rsidRDefault="00A26ADA">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3C05672C" w14:textId="32310E5A"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3653D3E8" w14:textId="6A99203F" w:rsidR="00546580" w:rsidRDefault="00A26ADA">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48F54BB7" w14:textId="6339AF29" w:rsidR="00546580" w:rsidRDefault="00A26ADA">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853057">
              <w:rPr>
                <w:noProof/>
                <w:webHidden/>
              </w:rPr>
              <w:t>13</w:t>
            </w:r>
            <w:r w:rsidR="00546580">
              <w:rPr>
                <w:noProof/>
                <w:webHidden/>
              </w:rPr>
              <w:fldChar w:fldCharType="end"/>
            </w:r>
          </w:hyperlink>
        </w:p>
        <w:p w14:paraId="05667C8F" w14:textId="525A89CE"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853057">
              <w:rPr>
                <w:noProof/>
                <w:webHidden/>
              </w:rPr>
              <w:t>14</w:t>
            </w:r>
            <w:r w:rsidR="00546580">
              <w:rPr>
                <w:noProof/>
                <w:webHidden/>
              </w:rPr>
              <w:fldChar w:fldCharType="end"/>
            </w:r>
          </w:hyperlink>
        </w:p>
        <w:p w14:paraId="47C51B98" w14:textId="2EB2C619" w:rsidR="00546580" w:rsidRDefault="00A26ADA">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853057">
              <w:rPr>
                <w:noProof/>
                <w:webHidden/>
              </w:rPr>
              <w:t>14</w:t>
            </w:r>
            <w:r w:rsidR="00546580">
              <w:rPr>
                <w:noProof/>
                <w:webHidden/>
              </w:rPr>
              <w:fldChar w:fldCharType="end"/>
            </w:r>
          </w:hyperlink>
        </w:p>
        <w:p w14:paraId="6FC05F0C" w14:textId="46392A15" w:rsidR="00546580" w:rsidRDefault="00A26ADA">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853057">
              <w:rPr>
                <w:noProof/>
                <w:webHidden/>
              </w:rPr>
              <w:t>14</w:t>
            </w:r>
            <w:r w:rsidR="00546580">
              <w:rPr>
                <w:noProof/>
                <w:webHidden/>
              </w:rPr>
              <w:fldChar w:fldCharType="end"/>
            </w:r>
          </w:hyperlink>
        </w:p>
        <w:p w14:paraId="420B3E7A" w14:textId="79E38A56" w:rsidR="00546580" w:rsidRDefault="00A26ADA">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853057">
              <w:rPr>
                <w:noProof/>
                <w:webHidden/>
              </w:rPr>
              <w:t>14</w:t>
            </w:r>
            <w:r w:rsidR="00546580">
              <w:rPr>
                <w:noProof/>
                <w:webHidden/>
              </w:rPr>
              <w:fldChar w:fldCharType="end"/>
            </w:r>
          </w:hyperlink>
        </w:p>
        <w:p w14:paraId="4468B68C" w14:textId="6F9E90BB" w:rsidR="00546580" w:rsidRDefault="00A26ADA">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853057">
              <w:rPr>
                <w:noProof/>
                <w:webHidden/>
              </w:rPr>
              <w:t>14</w:t>
            </w:r>
            <w:r w:rsidR="00546580">
              <w:rPr>
                <w:noProof/>
                <w:webHidden/>
              </w:rPr>
              <w:fldChar w:fldCharType="end"/>
            </w:r>
          </w:hyperlink>
        </w:p>
        <w:p w14:paraId="002FE5BD" w14:textId="31424A31" w:rsidR="00546580" w:rsidRDefault="00A26ADA">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853057">
              <w:rPr>
                <w:noProof/>
                <w:webHidden/>
              </w:rPr>
              <w:t>15</w:t>
            </w:r>
            <w:r w:rsidR="00546580">
              <w:rPr>
                <w:noProof/>
                <w:webHidden/>
              </w:rPr>
              <w:fldChar w:fldCharType="end"/>
            </w:r>
          </w:hyperlink>
        </w:p>
        <w:p w14:paraId="488D4513" w14:textId="44EAE6B0" w:rsidR="00546580" w:rsidRDefault="00A26ADA">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853057">
              <w:rPr>
                <w:noProof/>
                <w:webHidden/>
              </w:rPr>
              <w:t>15</w:t>
            </w:r>
            <w:r w:rsidR="00546580">
              <w:rPr>
                <w:noProof/>
                <w:webHidden/>
              </w:rPr>
              <w:fldChar w:fldCharType="end"/>
            </w:r>
          </w:hyperlink>
        </w:p>
        <w:p w14:paraId="6E9FB355" w14:textId="6F3C3685" w:rsidR="00546580" w:rsidRDefault="00A26ADA">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853057">
              <w:rPr>
                <w:noProof/>
                <w:webHidden/>
              </w:rPr>
              <w:t>15</w:t>
            </w:r>
            <w:r w:rsidR="00546580">
              <w:rPr>
                <w:noProof/>
                <w:webHidden/>
              </w:rPr>
              <w:fldChar w:fldCharType="end"/>
            </w:r>
          </w:hyperlink>
        </w:p>
        <w:p w14:paraId="7FAFAC66" w14:textId="6BC0E7E3" w:rsidR="00546580" w:rsidRDefault="00A26ADA">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853057">
              <w:rPr>
                <w:noProof/>
                <w:webHidden/>
              </w:rPr>
              <w:t>16</w:t>
            </w:r>
            <w:r w:rsidR="00546580">
              <w:rPr>
                <w:noProof/>
                <w:webHidden/>
              </w:rPr>
              <w:fldChar w:fldCharType="end"/>
            </w:r>
          </w:hyperlink>
        </w:p>
        <w:p w14:paraId="1175D43F" w14:textId="4F66B7D2" w:rsidR="00546580" w:rsidRDefault="00A26ADA">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853057">
              <w:rPr>
                <w:noProof/>
                <w:webHidden/>
              </w:rPr>
              <w:t>17</w:t>
            </w:r>
            <w:r w:rsidR="00546580">
              <w:rPr>
                <w:noProof/>
                <w:webHidden/>
              </w:rPr>
              <w:fldChar w:fldCharType="end"/>
            </w:r>
          </w:hyperlink>
        </w:p>
        <w:p w14:paraId="705C2CDB" w14:textId="46EF7BF1" w:rsidR="00546580" w:rsidRDefault="00A26ADA">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853057">
              <w:rPr>
                <w:noProof/>
                <w:webHidden/>
              </w:rPr>
              <w:t>17</w:t>
            </w:r>
            <w:r w:rsidR="00546580">
              <w:rPr>
                <w:noProof/>
                <w:webHidden/>
              </w:rPr>
              <w:fldChar w:fldCharType="end"/>
            </w:r>
          </w:hyperlink>
        </w:p>
        <w:p w14:paraId="1B31C1B3" w14:textId="044F488C" w:rsidR="00546580" w:rsidRDefault="00A26ADA">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853057">
              <w:rPr>
                <w:noProof/>
                <w:webHidden/>
              </w:rPr>
              <w:t>17</w:t>
            </w:r>
            <w:r w:rsidR="00546580">
              <w:rPr>
                <w:noProof/>
                <w:webHidden/>
              </w:rPr>
              <w:fldChar w:fldCharType="end"/>
            </w:r>
          </w:hyperlink>
        </w:p>
        <w:p w14:paraId="5EE0B87B" w14:textId="1AED17C2" w:rsidR="00546580" w:rsidRDefault="00A26ADA">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853057">
              <w:rPr>
                <w:noProof/>
                <w:webHidden/>
              </w:rPr>
              <w:t>17</w:t>
            </w:r>
            <w:r w:rsidR="00546580">
              <w:rPr>
                <w:noProof/>
                <w:webHidden/>
              </w:rPr>
              <w:fldChar w:fldCharType="end"/>
            </w:r>
          </w:hyperlink>
        </w:p>
        <w:p w14:paraId="6E123952" w14:textId="063665DD"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853057">
              <w:rPr>
                <w:noProof/>
                <w:webHidden/>
              </w:rPr>
              <w:t>18</w:t>
            </w:r>
            <w:r w:rsidR="00546580">
              <w:rPr>
                <w:noProof/>
                <w:webHidden/>
              </w:rPr>
              <w:fldChar w:fldCharType="end"/>
            </w:r>
          </w:hyperlink>
        </w:p>
        <w:p w14:paraId="4C2DFB8B" w14:textId="2E266CFA"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853057">
              <w:rPr>
                <w:noProof/>
                <w:webHidden/>
              </w:rPr>
              <w:t>18</w:t>
            </w:r>
            <w:r w:rsidR="00546580">
              <w:rPr>
                <w:noProof/>
                <w:webHidden/>
              </w:rPr>
              <w:fldChar w:fldCharType="end"/>
            </w:r>
          </w:hyperlink>
        </w:p>
        <w:p w14:paraId="1B17EDF9" w14:textId="1EF82651"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853057">
              <w:rPr>
                <w:noProof/>
                <w:webHidden/>
              </w:rPr>
              <w:t>18</w:t>
            </w:r>
            <w:r w:rsidR="00546580">
              <w:rPr>
                <w:noProof/>
                <w:webHidden/>
              </w:rPr>
              <w:fldChar w:fldCharType="end"/>
            </w:r>
          </w:hyperlink>
        </w:p>
        <w:p w14:paraId="00112135" w14:textId="016FC882" w:rsidR="00546580" w:rsidRDefault="00A26ADA">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853057">
              <w:rPr>
                <w:noProof/>
                <w:webHidden/>
              </w:rPr>
              <w:t>18</w:t>
            </w:r>
            <w:r w:rsidR="00546580">
              <w:rPr>
                <w:noProof/>
                <w:webHidden/>
              </w:rPr>
              <w:fldChar w:fldCharType="end"/>
            </w:r>
          </w:hyperlink>
        </w:p>
        <w:p w14:paraId="2C33A720" w14:textId="1C800469" w:rsidR="00546580" w:rsidRDefault="00A26ADA">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853057">
              <w:rPr>
                <w:noProof/>
                <w:webHidden/>
              </w:rPr>
              <w:t>19</w:t>
            </w:r>
            <w:r w:rsidR="00546580">
              <w:rPr>
                <w:noProof/>
                <w:webHidden/>
              </w:rPr>
              <w:fldChar w:fldCharType="end"/>
            </w:r>
          </w:hyperlink>
        </w:p>
        <w:p w14:paraId="549F4B4B" w14:textId="0ED420A2"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853057">
              <w:rPr>
                <w:noProof/>
                <w:webHidden/>
              </w:rPr>
              <w:t>19</w:t>
            </w:r>
            <w:r w:rsidR="00546580">
              <w:rPr>
                <w:noProof/>
                <w:webHidden/>
              </w:rPr>
              <w:fldChar w:fldCharType="end"/>
            </w:r>
          </w:hyperlink>
        </w:p>
        <w:p w14:paraId="7E186D76" w14:textId="1436212D" w:rsidR="00546580" w:rsidRDefault="00A26ADA">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853057">
              <w:rPr>
                <w:noProof/>
                <w:webHidden/>
              </w:rPr>
              <w:t>19</w:t>
            </w:r>
            <w:r w:rsidR="00546580">
              <w:rPr>
                <w:noProof/>
                <w:webHidden/>
              </w:rPr>
              <w:fldChar w:fldCharType="end"/>
            </w:r>
          </w:hyperlink>
        </w:p>
        <w:p w14:paraId="0A2C3351" w14:textId="46A8F44B" w:rsidR="00546580" w:rsidRDefault="00A26ADA">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853057">
              <w:rPr>
                <w:noProof/>
                <w:webHidden/>
              </w:rPr>
              <w:t>19</w:t>
            </w:r>
            <w:r w:rsidR="00546580">
              <w:rPr>
                <w:noProof/>
                <w:webHidden/>
              </w:rPr>
              <w:fldChar w:fldCharType="end"/>
            </w:r>
          </w:hyperlink>
        </w:p>
        <w:p w14:paraId="5CB9702F" w14:textId="46B02790" w:rsidR="00546580" w:rsidRDefault="00A26ADA">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853057">
              <w:rPr>
                <w:noProof/>
                <w:webHidden/>
              </w:rPr>
              <w:t>19</w:t>
            </w:r>
            <w:r w:rsidR="00546580">
              <w:rPr>
                <w:noProof/>
                <w:webHidden/>
              </w:rPr>
              <w:fldChar w:fldCharType="end"/>
            </w:r>
          </w:hyperlink>
        </w:p>
        <w:p w14:paraId="51119909" w14:textId="3AEAE8DB" w:rsidR="00546580" w:rsidRDefault="00A26ADA">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2B28BF91" w14:textId="083AF3D6" w:rsidR="00546580" w:rsidRDefault="00A26ADA">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5549FA96" w14:textId="686ED034" w:rsidR="00546580" w:rsidRDefault="00A26ADA">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121F2F53" w14:textId="035A9B89"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51674D08" w14:textId="1282CD48" w:rsidR="00546580" w:rsidRDefault="00A26ADA">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0303097F" w14:textId="00078B55" w:rsidR="00546580" w:rsidRDefault="00A26ADA">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853057">
              <w:rPr>
                <w:noProof/>
                <w:webHidden/>
              </w:rPr>
              <w:t>20</w:t>
            </w:r>
            <w:r w:rsidR="00546580">
              <w:rPr>
                <w:noProof/>
                <w:webHidden/>
              </w:rPr>
              <w:fldChar w:fldCharType="end"/>
            </w:r>
          </w:hyperlink>
        </w:p>
        <w:p w14:paraId="268FFB98" w14:textId="0724407E" w:rsidR="00546580" w:rsidRDefault="00A26ADA">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853057">
              <w:rPr>
                <w:noProof/>
                <w:webHidden/>
              </w:rPr>
              <w:t>21</w:t>
            </w:r>
            <w:r w:rsidR="00546580">
              <w:rPr>
                <w:noProof/>
                <w:webHidden/>
              </w:rPr>
              <w:fldChar w:fldCharType="end"/>
            </w:r>
          </w:hyperlink>
        </w:p>
        <w:p w14:paraId="7CB3C15F" w14:textId="4646B432"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853057">
              <w:rPr>
                <w:noProof/>
                <w:webHidden/>
              </w:rPr>
              <w:t>21</w:t>
            </w:r>
            <w:r w:rsidR="00546580">
              <w:rPr>
                <w:noProof/>
                <w:webHidden/>
              </w:rPr>
              <w:fldChar w:fldCharType="end"/>
            </w:r>
          </w:hyperlink>
        </w:p>
        <w:p w14:paraId="170E517A" w14:textId="229207EB"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853057">
              <w:rPr>
                <w:noProof/>
                <w:webHidden/>
              </w:rPr>
              <w:t>21</w:t>
            </w:r>
            <w:r w:rsidR="00546580">
              <w:rPr>
                <w:noProof/>
                <w:webHidden/>
              </w:rPr>
              <w:fldChar w:fldCharType="end"/>
            </w:r>
          </w:hyperlink>
        </w:p>
        <w:p w14:paraId="1B586175" w14:textId="465A4989"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853057">
              <w:rPr>
                <w:noProof/>
                <w:webHidden/>
              </w:rPr>
              <w:t>21</w:t>
            </w:r>
            <w:r w:rsidR="00546580">
              <w:rPr>
                <w:noProof/>
                <w:webHidden/>
              </w:rPr>
              <w:fldChar w:fldCharType="end"/>
            </w:r>
          </w:hyperlink>
        </w:p>
        <w:p w14:paraId="289F7875" w14:textId="48ABE6BD"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853057">
              <w:rPr>
                <w:noProof/>
                <w:webHidden/>
              </w:rPr>
              <w:t>23</w:t>
            </w:r>
            <w:r w:rsidR="00546580">
              <w:rPr>
                <w:noProof/>
                <w:webHidden/>
              </w:rPr>
              <w:fldChar w:fldCharType="end"/>
            </w:r>
          </w:hyperlink>
        </w:p>
        <w:p w14:paraId="08DCE7C4" w14:textId="25C4A4CC"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853057">
              <w:rPr>
                <w:noProof/>
                <w:webHidden/>
              </w:rPr>
              <w:t>23</w:t>
            </w:r>
            <w:r w:rsidR="00546580">
              <w:rPr>
                <w:noProof/>
                <w:webHidden/>
              </w:rPr>
              <w:fldChar w:fldCharType="end"/>
            </w:r>
          </w:hyperlink>
        </w:p>
        <w:p w14:paraId="1DB3F3B7" w14:textId="1932C2E8"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853057">
              <w:rPr>
                <w:noProof/>
                <w:webHidden/>
              </w:rPr>
              <w:t>23</w:t>
            </w:r>
            <w:r w:rsidR="00546580">
              <w:rPr>
                <w:noProof/>
                <w:webHidden/>
              </w:rPr>
              <w:fldChar w:fldCharType="end"/>
            </w:r>
          </w:hyperlink>
        </w:p>
        <w:p w14:paraId="1B997F16" w14:textId="064BFAFB" w:rsidR="00546580" w:rsidRDefault="00A26ADA">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853057">
              <w:rPr>
                <w:noProof/>
                <w:webHidden/>
              </w:rPr>
              <w:t>23</w:t>
            </w:r>
            <w:r w:rsidR="00546580">
              <w:rPr>
                <w:noProof/>
                <w:webHidden/>
              </w:rPr>
              <w:fldChar w:fldCharType="end"/>
            </w:r>
          </w:hyperlink>
        </w:p>
        <w:p w14:paraId="6AAD2D08" w14:textId="0466B4FC" w:rsidR="00546580" w:rsidRDefault="00A26ADA">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853057">
              <w:rPr>
                <w:noProof/>
                <w:webHidden/>
              </w:rPr>
              <w:t>24</w:t>
            </w:r>
            <w:r w:rsidR="00546580">
              <w:rPr>
                <w:noProof/>
                <w:webHidden/>
              </w:rPr>
              <w:fldChar w:fldCharType="end"/>
            </w:r>
          </w:hyperlink>
        </w:p>
        <w:p w14:paraId="10A57509" w14:textId="0B5560B8" w:rsidR="00546580" w:rsidRDefault="00A26ADA">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853057">
              <w:rPr>
                <w:noProof/>
                <w:webHidden/>
              </w:rPr>
              <w:t>27</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1D47A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1D47A4">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D82702" w14:paraId="023156E3" w14:textId="77777777" w:rsidTr="00DE1070">
        <w:tc>
          <w:tcPr>
            <w:tcW w:w="9886" w:type="dxa"/>
          </w:tcPr>
          <w:p w14:paraId="1A5E2E2F" w14:textId="19468868" w:rsidR="00DE1070" w:rsidRPr="003115EA" w:rsidRDefault="00DE1070" w:rsidP="00DE1070">
            <w:pPr>
              <w:pStyle w:val="a"/>
              <w:widowControl w:val="0"/>
              <w:rPr>
                <w:rFonts w:asciiTheme="minorHAnsi" w:hAnsiTheme="minorHAnsi" w:cstheme="minorHAnsi"/>
                <w:b/>
                <w:smallCaps/>
                <w:szCs w:val="22"/>
                <w:u w:val="single"/>
                <w:lang w:val="en-GB"/>
              </w:rPr>
            </w:pPr>
            <w:r w:rsidRPr="0044315B">
              <w:rPr>
                <w:rFonts w:asciiTheme="minorHAnsi" w:hAnsiTheme="minorHAnsi" w:cstheme="minorHAnsi"/>
                <w:b/>
                <w:bCs/>
                <w:smallCaps/>
                <w:szCs w:val="22"/>
                <w:u w:val="single"/>
                <w:lang w:val="en"/>
              </w:rPr>
              <w:t>co-contracting party’s name</w:t>
            </w:r>
            <w:r w:rsidR="0044315B">
              <w:rPr>
                <w:rFonts w:asciiTheme="minorHAnsi" w:hAnsiTheme="minorHAnsi" w:cstheme="minorHAnsi"/>
                <w:b/>
                <w:bCs/>
                <w:smallCaps/>
                <w:szCs w:val="22"/>
                <w:u w:val="single"/>
                <w:lang w:val="en"/>
              </w:rPr>
              <w:t xml:space="preserve"> </w:t>
            </w:r>
            <w:r w:rsidR="0044315B" w:rsidRPr="0044315B">
              <w:rPr>
                <w:rFonts w:asciiTheme="minorHAnsi" w:hAnsiTheme="minorHAnsi" w:cstheme="minorHAnsi"/>
                <w:b/>
                <w:bCs/>
                <w:smallCaps/>
                <w:szCs w:val="22"/>
                <w:highlight w:val="yellow"/>
                <w:u w:val="single"/>
                <w:lang w:val="en"/>
              </w:rPr>
              <w:t>TBC</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1D47A4">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1D47A4">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1D47A4">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8CC6DE8"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181B38">
        <w:rPr>
          <w:rFonts w:asciiTheme="minorHAnsi" w:hAnsiTheme="minorHAnsi" w:cs="Calibri"/>
          <w:sz w:val="22"/>
          <w:lang w:val="en-GB"/>
        </w:rPr>
        <w:t xml:space="preserve">05/04/2023 </w:t>
      </w:r>
      <w:r w:rsidRPr="003115EA">
        <w:rPr>
          <w:rFonts w:asciiTheme="minorHAnsi" w:hAnsiTheme="minorHAnsi" w:cstheme="minorHAnsi"/>
          <w:sz w:val="22"/>
          <w:lang w:val="en"/>
        </w:rPr>
        <w:t xml:space="preserve">between </w:t>
      </w:r>
      <w:r w:rsidR="00AD59F2">
        <w:rPr>
          <w:rFonts w:asciiTheme="minorHAnsi" w:hAnsiTheme="minorHAnsi" w:cs="Calibri"/>
          <w:sz w:val="22"/>
          <w:lang w:val="en-GB"/>
        </w:rPr>
        <w:t>European Union and Expertise France</w:t>
      </w:r>
      <w:r w:rsidR="00AD59F2">
        <w:rPr>
          <w:rFonts w:asciiTheme="minorHAnsi" w:hAnsiTheme="minorHAnsi" w:cs="Calibri"/>
          <w:sz w:val="22"/>
          <w:lang w:val="en"/>
        </w:rPr>
        <w:t xml:space="preserve">, </w:t>
      </w:r>
      <w:r w:rsidRPr="003115EA">
        <w:rPr>
          <w:rFonts w:asciiTheme="minorHAnsi" w:hAnsiTheme="minorHAnsi" w:cstheme="minorHAnsi"/>
          <w:sz w:val="22"/>
          <w:lang w:val="en"/>
        </w:rPr>
        <w:t xml:space="preserve">covering </w:t>
      </w:r>
      <w:r w:rsidR="00AD59F2">
        <w:rPr>
          <w:rFonts w:asciiTheme="minorHAnsi" w:hAnsiTheme="minorHAnsi" w:cs="Calibri"/>
          <w:sz w:val="22"/>
          <w:szCs w:val="22"/>
          <w:lang w:val="en-GB"/>
        </w:rPr>
        <w:t>the EU Green Policy Dialogue Facility</w:t>
      </w:r>
      <w:r w:rsidR="00AD59F2" w:rsidRPr="003115EA">
        <w:rPr>
          <w:rFonts w:asciiTheme="minorHAnsi" w:hAnsiTheme="minorHAnsi" w:cs="Calibri"/>
          <w:sz w:val="22"/>
          <w:lang w:val="en"/>
        </w:rPr>
        <w:t>,</w:t>
      </w:r>
      <w:r w:rsidR="00AD59F2">
        <w:rPr>
          <w:rFonts w:asciiTheme="minorHAnsi" w:hAnsiTheme="minorHAnsi" w:cs="Calibr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1D47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468609D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F93FD2" w:rsidRPr="00F93FD2">
        <w:rPr>
          <w:rFonts w:asciiTheme="minorHAnsi" w:hAnsiTheme="minorHAnsi" w:cs="Arial"/>
          <w:lang w:val="en"/>
        </w:rPr>
        <w:t>Policy and technical support for the repowering of 1</w:t>
      </w:r>
      <w:r w:rsidR="00F93FD2" w:rsidRPr="00981223">
        <w:rPr>
          <w:rFonts w:asciiTheme="minorHAnsi" w:hAnsiTheme="minorHAnsi" w:cs="Arial"/>
          <w:vertAlign w:val="superscript"/>
          <w:lang w:val="en"/>
        </w:rPr>
        <w:t>st</w:t>
      </w:r>
      <w:r w:rsidR="00981223">
        <w:rPr>
          <w:rFonts w:asciiTheme="minorHAnsi" w:hAnsiTheme="minorHAnsi" w:cs="Arial"/>
          <w:lang w:val="en"/>
        </w:rPr>
        <w:t xml:space="preserve"> </w:t>
      </w:r>
      <w:r w:rsidR="00F93FD2" w:rsidRPr="00F93FD2">
        <w:rPr>
          <w:rFonts w:asciiTheme="minorHAnsi" w:hAnsiTheme="minorHAnsi" w:cs="Arial"/>
          <w:lang w:val="en"/>
        </w:rPr>
        <w:t>generation wind power plants in Sri Lanka</w:t>
      </w:r>
      <w:r w:rsidRPr="00F2235E">
        <w:rPr>
          <w:rFonts w:asciiTheme="minorHAnsi" w:hAnsiTheme="minorHAnsi" w:cs="Arial"/>
          <w:lang w:val="en"/>
        </w:rPr>
        <w:t>“.</w:t>
      </w:r>
    </w:p>
    <w:p w14:paraId="0E52074F" w14:textId="2A31EF8B" w:rsidR="001726C5" w:rsidRPr="00F2235E" w:rsidRDefault="001726C5" w:rsidP="001D47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D47A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1D47A4">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1D47A4">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A408C28" w:rsidR="00110630" w:rsidRPr="00F2235E" w:rsidRDefault="00110630" w:rsidP="001D47A4">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A2D5D68" w14:textId="43FDB3A2" w:rsidR="00663C0B" w:rsidRPr="00F2235E" w:rsidRDefault="00663C0B" w:rsidP="001D47A4">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58B42E46" w:rsidR="00996FEA" w:rsidRPr="00F2235E" w:rsidRDefault="00861444" w:rsidP="001D47A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D47A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1A8E5812" w:rsidR="00656639" w:rsidRPr="002A036A" w:rsidRDefault="00E326F3" w:rsidP="002A036A">
      <w:pPr>
        <w:pStyle w:val="w"/>
        <w:widowControl w:val="0"/>
        <w:spacing w:beforeLines="240" w:before="576"/>
        <w:ind w:left="556"/>
        <w:rPr>
          <w:rFonts w:asciiTheme="minorHAnsi" w:hAnsiTheme="minorHAnsi" w:cs="Arial"/>
          <w:lang w:val="en-GB"/>
        </w:rPr>
      </w:pPr>
      <w:r w:rsidRPr="002A036A">
        <w:rPr>
          <w:rFonts w:asciiTheme="minorHAnsi" w:hAnsiTheme="minorHAnsi" w:cs="Arial"/>
          <w:lang w:val="en"/>
        </w:rPr>
        <w:t xml:space="preserve">These documents constitute the entirety of the agreement between the </w:t>
      </w:r>
      <w:r w:rsidRPr="002A036A">
        <w:rPr>
          <w:rFonts w:asciiTheme="minorHAnsi" w:hAnsiTheme="minorHAnsi" w:cs="Arial"/>
          <w:smallCaps/>
          <w:lang w:val="en"/>
        </w:rPr>
        <w:t>Parties</w:t>
      </w:r>
      <w:r w:rsidRPr="002A036A">
        <w:rPr>
          <w:rFonts w:asciiTheme="minorHAnsi" w:hAnsiTheme="minorHAnsi" w:cs="Arial"/>
          <w:lang w:val="en"/>
        </w:rPr>
        <w:t xml:space="preserve"> with regard to the </w:t>
      </w:r>
      <w:r w:rsidRPr="002A036A">
        <w:rPr>
          <w:rFonts w:asciiTheme="minorHAnsi" w:hAnsiTheme="minorHAnsi" w:cs="Arial"/>
          <w:smallCaps/>
          <w:lang w:val="en"/>
        </w:rPr>
        <w:t>Contract</w:t>
      </w:r>
      <w:r w:rsidRPr="002A036A">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2A036A">
        <w:rPr>
          <w:rFonts w:asciiTheme="minorHAnsi" w:hAnsiTheme="minorHAnsi" w:cs="Arial"/>
          <w:smallCaps/>
          <w:lang w:val="en"/>
        </w:rPr>
        <w:t>Party</w:t>
      </w:r>
      <w:r w:rsidRPr="002A036A">
        <w:rPr>
          <w:rFonts w:asciiTheme="minorHAnsi" w:hAnsiTheme="minorHAnsi" w:cs="Arial"/>
          <w:lang w:val="en"/>
        </w:rPr>
        <w:t xml:space="preserve"> to the other </w:t>
      </w:r>
      <w:r w:rsidRPr="002A036A">
        <w:rPr>
          <w:rFonts w:asciiTheme="minorHAnsi" w:hAnsiTheme="minorHAnsi" w:cs="Arial"/>
          <w:smallCaps/>
          <w:lang w:val="en"/>
        </w:rPr>
        <w:t>Party</w:t>
      </w:r>
      <w:r w:rsidRPr="002A036A">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D47A4">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07FD874F" w:rsidR="00A246CE" w:rsidRDefault="001B6DF5" w:rsidP="002F2D1F">
      <w:pPr>
        <w:pStyle w:val="u"/>
        <w:widowControl w:val="0"/>
        <w:spacing w:before="240"/>
        <w:ind w:left="567"/>
        <w:rPr>
          <w:rFonts w:asciiTheme="minorHAnsi" w:hAnsiTheme="minorHAnsi" w:cstheme="minorHAnsi"/>
          <w:szCs w:val="22"/>
          <w:lang w:val="en"/>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7B2216">
        <w:rPr>
          <w:rFonts w:asciiTheme="minorHAnsi" w:hAnsiTheme="minorHAnsi" w:cstheme="minorHAnsi"/>
          <w:szCs w:val="22"/>
          <w:lang w:val="en"/>
        </w:rPr>
        <w:t xml:space="preserve"> is a public contract for services at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29D41336" w:rsidR="00413542" w:rsidRPr="00D82702" w:rsidRDefault="00413542" w:rsidP="00413542">
      <w:pPr>
        <w:pStyle w:val="v"/>
        <w:widowControl w:val="0"/>
        <w:spacing w:before="120"/>
        <w:ind w:left="556" w:firstLine="0"/>
        <w:rPr>
          <w:rFonts w:asciiTheme="minorHAnsi" w:hAnsiTheme="minorHAnsi" w:cstheme="minorHAnsi"/>
          <w:szCs w:val="22"/>
          <w:lang w:val="en-GB"/>
        </w:rPr>
      </w:pPr>
      <w:r w:rsidRPr="00D82702">
        <w:rPr>
          <w:rFonts w:asciiTheme="minorHAnsi" w:hAnsiTheme="minorHAnsi" w:cstheme="minorHAnsi"/>
          <w:szCs w:val="22"/>
          <w:lang w:val="en"/>
        </w:rPr>
        <w:t xml:space="preserve">The term of the </w:t>
      </w:r>
      <w:r w:rsidRPr="00D82702">
        <w:rPr>
          <w:rFonts w:asciiTheme="minorHAnsi" w:hAnsiTheme="minorHAnsi" w:cstheme="minorHAnsi"/>
          <w:smallCaps/>
          <w:szCs w:val="22"/>
          <w:lang w:val="en"/>
        </w:rPr>
        <w:t xml:space="preserve">Contract </w:t>
      </w:r>
      <w:r w:rsidRPr="00D82702">
        <w:rPr>
          <w:rFonts w:asciiTheme="minorHAnsi" w:hAnsiTheme="minorHAnsi" w:cstheme="minorHAnsi"/>
          <w:szCs w:val="22"/>
          <w:lang w:val="en"/>
        </w:rPr>
        <w:t xml:space="preserve">is </w:t>
      </w:r>
      <w:r w:rsidR="00C46434" w:rsidRPr="00545B64">
        <w:rPr>
          <w:rFonts w:asciiTheme="minorHAnsi" w:hAnsiTheme="minorHAnsi" w:cstheme="minorHAnsi"/>
          <w:szCs w:val="22"/>
          <w:lang w:val="en"/>
        </w:rPr>
        <w:t>1</w:t>
      </w:r>
      <w:r w:rsidR="00D82702" w:rsidRPr="00545B64">
        <w:rPr>
          <w:rFonts w:asciiTheme="minorHAnsi" w:hAnsiTheme="minorHAnsi" w:cstheme="minorHAnsi"/>
          <w:szCs w:val="22"/>
          <w:lang w:val="en"/>
        </w:rPr>
        <w:t>3,5</w:t>
      </w:r>
      <w:r w:rsidR="00337927" w:rsidRPr="00D82702">
        <w:rPr>
          <w:rFonts w:asciiTheme="minorHAnsi" w:hAnsiTheme="minorHAnsi" w:cstheme="minorHAnsi"/>
          <w:szCs w:val="22"/>
          <w:lang w:val="en"/>
        </w:rPr>
        <w:t xml:space="preserve"> months from </w:t>
      </w:r>
      <w:r w:rsidRPr="00D82702">
        <w:rPr>
          <w:rFonts w:asciiTheme="minorHAnsi" w:hAnsiTheme="minorHAnsi" w:cstheme="minorHAnsi"/>
          <w:szCs w:val="22"/>
          <w:lang w:val="en"/>
        </w:rPr>
        <w:t xml:space="preserve">its award to the </w:t>
      </w:r>
      <w:r w:rsidRPr="00D82702">
        <w:rPr>
          <w:rFonts w:asciiTheme="minorHAnsi" w:hAnsiTheme="minorHAnsi" w:cstheme="minorHAnsi"/>
          <w:smallCaps/>
          <w:szCs w:val="22"/>
          <w:lang w:val="en"/>
        </w:rPr>
        <w:t>Contractor</w:t>
      </w:r>
      <w:r w:rsidRPr="00D82702">
        <w:rPr>
          <w:rFonts w:asciiTheme="minorHAnsi" w:hAnsiTheme="minorHAnsi" w:cstheme="minorHAnsi"/>
          <w:szCs w:val="22"/>
          <w:lang w:val="en"/>
        </w:rPr>
        <w:t xml:space="preserve"> by </w:t>
      </w:r>
      <w:r w:rsidRPr="00D82702">
        <w:rPr>
          <w:rFonts w:asciiTheme="minorHAnsi" w:hAnsiTheme="minorHAnsi" w:cstheme="minorHAnsi"/>
          <w:smallCaps/>
          <w:szCs w:val="22"/>
          <w:lang w:val="en"/>
        </w:rPr>
        <w:t>Expertise France</w:t>
      </w:r>
    </w:p>
    <w:p w14:paraId="10848C8C" w14:textId="2D688224" w:rsidR="00413542" w:rsidRDefault="00413542" w:rsidP="00413542">
      <w:pPr>
        <w:pStyle w:val="v"/>
        <w:widowControl w:val="0"/>
        <w:spacing w:before="120"/>
        <w:ind w:left="556" w:firstLine="0"/>
        <w:rPr>
          <w:rFonts w:asciiTheme="minorHAnsi" w:hAnsiTheme="minorHAnsi" w:cstheme="minorHAnsi"/>
          <w:szCs w:val="22"/>
          <w:lang w:val="en"/>
        </w:rPr>
      </w:pPr>
      <w:r w:rsidRPr="00D82702">
        <w:rPr>
          <w:rFonts w:asciiTheme="minorHAnsi" w:hAnsiTheme="minorHAnsi" w:cstheme="minorHAnsi"/>
          <w:szCs w:val="22"/>
          <w:lang w:val="en"/>
        </w:rPr>
        <w:t xml:space="preserve">The </w:t>
      </w:r>
      <w:r w:rsidRPr="00D82702">
        <w:rPr>
          <w:rFonts w:asciiTheme="minorHAnsi" w:hAnsiTheme="minorHAnsi" w:cstheme="minorHAnsi"/>
          <w:smallCaps/>
          <w:szCs w:val="22"/>
          <w:lang w:val="en"/>
        </w:rPr>
        <w:t xml:space="preserve">Contract </w:t>
      </w:r>
      <w:r w:rsidRPr="00D82702">
        <w:rPr>
          <w:rFonts w:asciiTheme="minorHAnsi" w:hAnsiTheme="minorHAnsi" w:cstheme="minorHAnsi"/>
          <w:szCs w:val="22"/>
          <w:lang w:val="en"/>
        </w:rPr>
        <w:t xml:space="preserve">shall expire after all services/supplies have been delivered by the </w:t>
      </w:r>
      <w:r w:rsidRPr="00D82702">
        <w:rPr>
          <w:rFonts w:asciiTheme="minorHAnsi" w:hAnsiTheme="minorHAnsi" w:cstheme="minorHAnsi"/>
          <w:smallCaps/>
          <w:szCs w:val="22"/>
          <w:lang w:val="en"/>
        </w:rPr>
        <w:t>Contractor</w:t>
      </w:r>
      <w:r w:rsidRPr="00D82702">
        <w:rPr>
          <w:rFonts w:asciiTheme="minorHAnsi" w:hAnsiTheme="minorHAnsi" w:cstheme="minorHAnsi"/>
          <w:szCs w:val="22"/>
          <w:lang w:val="en"/>
        </w:rPr>
        <w:t xml:space="preserve"> and all rights and obligations of the Parties resulting from the </w:t>
      </w:r>
      <w:r w:rsidRPr="00D82702">
        <w:rPr>
          <w:rFonts w:asciiTheme="minorHAnsi" w:hAnsiTheme="minorHAnsi" w:cstheme="minorHAnsi"/>
          <w:smallCaps/>
          <w:szCs w:val="22"/>
          <w:lang w:val="en"/>
        </w:rPr>
        <w:t>Contract</w:t>
      </w:r>
      <w:r w:rsidRPr="00D82702">
        <w:rPr>
          <w:rFonts w:asciiTheme="minorHAnsi" w:hAnsiTheme="minorHAnsi" w:cstheme="minorHAnsi"/>
          <w:szCs w:val="22"/>
          <w:lang w:val="en"/>
        </w:rPr>
        <w:t xml:space="preserve"> have been extinguished. If all or some of the services/supplies remain outstanding by the specified period, the </w:t>
      </w:r>
      <w:r w:rsidRPr="00D82702">
        <w:rPr>
          <w:rFonts w:asciiTheme="minorHAnsi" w:hAnsiTheme="minorHAnsi" w:cstheme="minorHAnsi"/>
          <w:smallCaps/>
          <w:szCs w:val="22"/>
          <w:lang w:val="en"/>
        </w:rPr>
        <w:t>Contractor</w:t>
      </w:r>
      <w:r w:rsidRPr="00D82702">
        <w:rPr>
          <w:rFonts w:asciiTheme="minorHAnsi" w:hAnsiTheme="minorHAnsi" w:cstheme="minorHAnsi"/>
          <w:szCs w:val="22"/>
          <w:lang w:val="en"/>
        </w:rPr>
        <w:t xml:space="preserve"> must immediately take all necessary steps to complete delivery without being able to claim any remuneration in this regard.</w:t>
      </w:r>
    </w:p>
    <w:p w14:paraId="6E045CFD" w14:textId="1E1C247B" w:rsidR="00545B64" w:rsidRPr="00F41A62" w:rsidRDefault="00545B64" w:rsidP="00545B64">
      <w:pPr>
        <w:pStyle w:val="Titre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 xml:space="preserve">Commencement and deadline of </w:t>
      </w:r>
      <w:r w:rsidRPr="00F41A62">
        <w:rPr>
          <w:rFonts w:asciiTheme="minorHAnsi" w:hAnsiTheme="minorHAnsi" w:cstheme="minorHAnsi"/>
          <w:sz w:val="22"/>
          <w:szCs w:val="22"/>
          <w:lang w:val="en"/>
        </w:rPr>
        <w:t>service provision</w:t>
      </w:r>
      <w:bookmarkEnd w:id="13"/>
    </w:p>
    <w:p w14:paraId="38703DD6" w14:textId="2D82C628" w:rsidR="00545B64" w:rsidRPr="00F41A62" w:rsidRDefault="00545B64" w:rsidP="00545B64">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is 12 MONTHS</w:t>
      </w:r>
      <w:r>
        <w:rPr>
          <w:rFonts w:asciiTheme="minorHAnsi" w:hAnsiTheme="minorHAnsi" w:cstheme="minorHAnsi"/>
          <w:szCs w:val="22"/>
          <w:lang w:val="en"/>
        </w:rPr>
        <w:t xml:space="preserve"> from the </w:t>
      </w:r>
      <w:r w:rsidRPr="00F41A62">
        <w:rPr>
          <w:rFonts w:asciiTheme="minorHAnsi" w:hAnsiTheme="minorHAnsi" w:cstheme="minorHAnsi"/>
          <w:szCs w:val="22"/>
          <w:lang w:val="en"/>
        </w:rPr>
        <w:t xml:space="preserve">award date of this </w:t>
      </w:r>
      <w:r w:rsidRPr="00F41A62">
        <w:rPr>
          <w:rFonts w:asciiTheme="minorHAnsi" w:hAnsiTheme="minorHAnsi" w:cstheme="minorHAnsi"/>
          <w:smallCaps/>
          <w:szCs w:val="22"/>
          <w:lang w:val="en"/>
        </w:rPr>
        <w:t>Contract</w:t>
      </w:r>
      <w:r>
        <w:rPr>
          <w:rFonts w:asciiTheme="minorHAnsi" w:hAnsiTheme="minorHAnsi" w:cstheme="minorHAnsi"/>
          <w:smallCaps/>
          <w:szCs w:val="22"/>
          <w:lang w:val="en"/>
        </w:rPr>
        <w:t>.</w:t>
      </w:r>
    </w:p>
    <w:p w14:paraId="4501122F" w14:textId="77777777" w:rsidR="00545B64" w:rsidRPr="00F41A62" w:rsidRDefault="00545B64" w:rsidP="00545B64">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1D47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536349C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3C83B96B"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041D79"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64FA311" w14:textId="4232DCE8" w:rsidR="00D82702" w:rsidRPr="008E7A24" w:rsidRDefault="00D82702" w:rsidP="00D82702">
      <w:pPr>
        <w:pStyle w:val="u"/>
        <w:widowControl w:val="0"/>
        <w:numPr>
          <w:ilvl w:val="12"/>
          <w:numId w:val="0"/>
        </w:numPr>
        <w:spacing w:after="120"/>
        <w:ind w:left="561"/>
        <w:jc w:val="left"/>
        <w:rPr>
          <w:rFonts w:asciiTheme="minorHAnsi" w:hAnsiTheme="minorHAnsi" w:cstheme="minorHAnsi"/>
          <w:szCs w:val="22"/>
          <w:lang w:val="en-GB"/>
        </w:rPr>
      </w:pPr>
      <w:bookmarkStart w:id="21" w:name="_Toc140836317"/>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Pr>
          <w:rFonts w:asciiTheme="minorHAnsi" w:hAnsiTheme="minorHAnsi" w:cstheme="minorHAnsi"/>
          <w:szCs w:val="22"/>
          <w:lang w:val="en"/>
        </w:rPr>
        <w:t>20%</w:t>
      </w:r>
      <w:r w:rsidRPr="008E7A24">
        <w:rPr>
          <w:rFonts w:asciiTheme="minorHAnsi" w:hAnsiTheme="minorHAnsi" w:cstheme="minorHAnsi"/>
          <w:szCs w:val="22"/>
          <w:lang w:val="en"/>
        </w:rPr>
        <w:t xml:space="preserve"> is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282F9812" w14:textId="77777777" w:rsidR="00D82702" w:rsidRPr="008E7A24" w:rsidRDefault="00D82702" w:rsidP="00D8270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44E9BCA9" w14:textId="77777777" w:rsidR="00D82702" w:rsidRPr="008E7A24" w:rsidRDefault="00D82702" w:rsidP="00D8270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1"/>
    </w:p>
    <w:p w14:paraId="083B5FA0" w14:textId="71786620" w:rsidR="00E637E0" w:rsidRPr="005603A8" w:rsidRDefault="00F01F99" w:rsidP="001D47A4">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5A4C001" w14:textId="77777777" w:rsidR="005603A8" w:rsidRPr="005603A8" w:rsidRDefault="005603A8" w:rsidP="005603A8">
      <w:pPr>
        <w:widowControl w:val="0"/>
        <w:numPr>
          <w:ilvl w:val="12"/>
          <w:numId w:val="0"/>
        </w:numPr>
        <w:overflowPunct w:val="0"/>
        <w:autoSpaceDE w:val="0"/>
        <w:autoSpaceDN w:val="0"/>
        <w:adjustRightInd w:val="0"/>
        <w:spacing w:after="120" w:line="240" w:lineRule="auto"/>
        <w:jc w:val="both"/>
        <w:textAlignment w:val="baseline"/>
        <w:rPr>
          <w:rFonts w:asciiTheme="minorHAnsi" w:eastAsia="Times New Roman" w:hAnsiTheme="minorHAnsi" w:cs="Calibri"/>
          <w:sz w:val="22"/>
          <w:szCs w:val="22"/>
          <w:lang w:val="en-GB"/>
        </w:rPr>
      </w:pPr>
      <w:r w:rsidRPr="005603A8">
        <w:rPr>
          <w:rFonts w:asciiTheme="minorHAnsi" w:eastAsia="Times New Roman" w:hAnsiTheme="minorHAnsi" w:cs="Calibri"/>
          <w:sz w:val="22"/>
          <w:szCs w:val="22"/>
          <w:lang w:val="en-GB"/>
        </w:rPr>
        <w:t>Delivery of the services due under of the CONTRACT establishes entitlement to an interim payment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007"/>
        <w:gridCol w:w="3655"/>
      </w:tblGrid>
      <w:tr w:rsidR="00004AE6" w:rsidRPr="00DA34BC" w14:paraId="371447DC" w14:textId="77777777" w:rsidTr="00E33ADC">
        <w:tc>
          <w:tcPr>
            <w:tcW w:w="3007" w:type="dxa"/>
            <w:vAlign w:val="center"/>
          </w:tcPr>
          <w:p w14:paraId="180D23EA" w14:textId="77777777" w:rsidR="00004AE6" w:rsidRDefault="00E33ADC" w:rsidP="0071011C">
            <w:pPr>
              <w:pStyle w:val="u"/>
              <w:widowControl w:val="0"/>
              <w:numPr>
                <w:ilvl w:val="12"/>
                <w:numId w:val="0"/>
              </w:numPr>
              <w:jc w:val="center"/>
              <w:rPr>
                <w:rFonts w:asciiTheme="minorHAnsi" w:hAnsiTheme="minorHAnsi" w:cs="Calibri"/>
                <w:b/>
                <w:bCs/>
                <w:szCs w:val="22"/>
                <w:lang w:val="en"/>
              </w:rPr>
            </w:pPr>
            <w:r w:rsidRPr="00DA34BC">
              <w:rPr>
                <w:rFonts w:asciiTheme="minorHAnsi" w:hAnsiTheme="minorHAnsi" w:cs="Calibri"/>
                <w:b/>
                <w:bCs/>
                <w:szCs w:val="22"/>
                <w:lang w:val="en"/>
              </w:rPr>
              <w:lastRenderedPageBreak/>
              <w:t xml:space="preserve">Amount of the </w:t>
            </w:r>
            <w:r>
              <w:rPr>
                <w:rFonts w:asciiTheme="minorHAnsi" w:hAnsiTheme="minorHAnsi" w:cs="Calibri"/>
                <w:b/>
                <w:bCs/>
                <w:szCs w:val="22"/>
                <w:lang w:val="en"/>
              </w:rPr>
              <w:t>interim payment</w:t>
            </w:r>
          </w:p>
          <w:p w14:paraId="25B3FA97" w14:textId="5BCB0F0C" w:rsidR="00E33ADC" w:rsidRPr="00DA34BC" w:rsidRDefault="00E33ADC" w:rsidP="0071011C">
            <w:pPr>
              <w:pStyle w:val="u"/>
              <w:widowControl w:val="0"/>
              <w:numPr>
                <w:ilvl w:val="12"/>
                <w:numId w:val="0"/>
              </w:numPr>
              <w:jc w:val="center"/>
              <w:rPr>
                <w:rFonts w:asciiTheme="minorHAnsi" w:hAnsiTheme="minorHAnsi" w:cstheme="minorHAnsi"/>
                <w:b/>
                <w:szCs w:val="22"/>
              </w:rPr>
            </w:pPr>
          </w:p>
        </w:tc>
        <w:tc>
          <w:tcPr>
            <w:tcW w:w="3655"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A05B55" w14:paraId="4FF76822" w14:textId="77777777" w:rsidTr="00E33ADC">
        <w:tc>
          <w:tcPr>
            <w:tcW w:w="3007" w:type="dxa"/>
            <w:vAlign w:val="center"/>
          </w:tcPr>
          <w:p w14:paraId="2015951F" w14:textId="016B0A32" w:rsidR="00004AE6" w:rsidRPr="00DA34BC" w:rsidRDefault="00004AE6"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amount in value</w:t>
            </w:r>
          </w:p>
        </w:tc>
        <w:tc>
          <w:tcPr>
            <w:tcW w:w="3655" w:type="dxa"/>
            <w:vAlign w:val="center"/>
          </w:tcPr>
          <w:p w14:paraId="770683B3" w14:textId="70B92759" w:rsidR="00004AE6" w:rsidRPr="00DA34BC" w:rsidRDefault="002F33B3"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1</w:t>
            </w:r>
          </w:p>
        </w:tc>
      </w:tr>
      <w:tr w:rsidR="002F33B3" w:rsidRPr="00A05B55" w14:paraId="2ABE893A" w14:textId="77777777" w:rsidTr="00E33ADC">
        <w:tc>
          <w:tcPr>
            <w:tcW w:w="3007" w:type="dxa"/>
            <w:vAlign w:val="center"/>
          </w:tcPr>
          <w:p w14:paraId="1F50F42A" w14:textId="1006EAF9"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7FB3AB46" w14:textId="5FCC04B0"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2</w:t>
            </w:r>
          </w:p>
        </w:tc>
      </w:tr>
      <w:tr w:rsidR="002F33B3" w:rsidRPr="00A05B55" w14:paraId="3A9937C7" w14:textId="77777777" w:rsidTr="00E33ADC">
        <w:tc>
          <w:tcPr>
            <w:tcW w:w="3007" w:type="dxa"/>
            <w:vAlign w:val="center"/>
          </w:tcPr>
          <w:p w14:paraId="7B94A0BD" w14:textId="2DBE61DA"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0FE761A2" w14:textId="76555BEF"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3</w:t>
            </w:r>
          </w:p>
        </w:tc>
      </w:tr>
      <w:tr w:rsidR="002F33B3" w:rsidRPr="00A05B55" w14:paraId="6828914C" w14:textId="77777777" w:rsidTr="00E33ADC">
        <w:tc>
          <w:tcPr>
            <w:tcW w:w="3007" w:type="dxa"/>
            <w:vAlign w:val="center"/>
          </w:tcPr>
          <w:p w14:paraId="771541D9" w14:textId="12EE2AA3"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058C0856" w14:textId="05615818"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4</w:t>
            </w:r>
          </w:p>
        </w:tc>
      </w:tr>
      <w:tr w:rsidR="002F33B3" w:rsidRPr="00A05B55" w14:paraId="2554788E" w14:textId="77777777" w:rsidTr="00E33ADC">
        <w:tc>
          <w:tcPr>
            <w:tcW w:w="3007" w:type="dxa"/>
            <w:vAlign w:val="center"/>
          </w:tcPr>
          <w:p w14:paraId="192E3A49" w14:textId="00C7049A"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1D7ED23F" w14:textId="10517C8B"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5</w:t>
            </w:r>
          </w:p>
        </w:tc>
      </w:tr>
      <w:tr w:rsidR="002F33B3" w:rsidRPr="00A05B55" w14:paraId="149BC437" w14:textId="77777777" w:rsidTr="00E33ADC">
        <w:tc>
          <w:tcPr>
            <w:tcW w:w="3007" w:type="dxa"/>
            <w:vAlign w:val="center"/>
          </w:tcPr>
          <w:p w14:paraId="36AE5D78" w14:textId="3D5CF176"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5A449883" w14:textId="7E5BAC37"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6</w:t>
            </w:r>
          </w:p>
        </w:tc>
      </w:tr>
      <w:tr w:rsidR="002F33B3" w:rsidRPr="00A05B55" w14:paraId="793281AB" w14:textId="77777777" w:rsidTr="00E33ADC">
        <w:tc>
          <w:tcPr>
            <w:tcW w:w="3007" w:type="dxa"/>
            <w:vAlign w:val="center"/>
          </w:tcPr>
          <w:p w14:paraId="5A768AFA" w14:textId="1963C646" w:rsidR="002F33B3" w:rsidRPr="00DA34BC" w:rsidRDefault="002F33B3" w:rsidP="002F33B3">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10BE8CF6" w14:textId="42BA65E8" w:rsidR="002F33B3" w:rsidRPr="00DA34BC" w:rsidRDefault="002F33B3"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sidR="002F7719">
              <w:rPr>
                <w:rFonts w:asciiTheme="minorHAnsi" w:hAnsiTheme="minorHAnsi" w:cs="Calibri"/>
                <w:szCs w:val="22"/>
                <w:highlight w:val="yellow"/>
                <w:lang w:val="en"/>
              </w:rPr>
              <w:t>7</w:t>
            </w:r>
          </w:p>
        </w:tc>
      </w:tr>
      <w:tr w:rsidR="002F7719" w:rsidRPr="00A05B55" w14:paraId="0EA57F47" w14:textId="77777777" w:rsidTr="00E33ADC">
        <w:tc>
          <w:tcPr>
            <w:tcW w:w="3007" w:type="dxa"/>
            <w:vAlign w:val="center"/>
          </w:tcPr>
          <w:p w14:paraId="2E93887B" w14:textId="4534CDE4" w:rsidR="002F7719" w:rsidRPr="00DA34BC" w:rsidRDefault="002F7719" w:rsidP="002F7719">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6CE7AB5A" w14:textId="18BE3BB8" w:rsidR="002F7719" w:rsidRPr="00DA34BC" w:rsidRDefault="002F7719"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8</w:t>
            </w:r>
          </w:p>
        </w:tc>
      </w:tr>
      <w:tr w:rsidR="002F7719" w:rsidRPr="00A05B55" w14:paraId="60A059C9" w14:textId="77777777" w:rsidTr="00E33ADC">
        <w:tc>
          <w:tcPr>
            <w:tcW w:w="3007" w:type="dxa"/>
            <w:vAlign w:val="center"/>
          </w:tcPr>
          <w:p w14:paraId="54FFC959" w14:textId="38E34ED7" w:rsidR="002F7719" w:rsidRPr="00DA34BC" w:rsidRDefault="002F7719" w:rsidP="002F7719">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73DC2C67" w14:textId="670EB227" w:rsidR="002F7719" w:rsidRPr="00DA34BC" w:rsidRDefault="002F7719"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9</w:t>
            </w:r>
          </w:p>
        </w:tc>
      </w:tr>
      <w:tr w:rsidR="002F7719" w:rsidRPr="00A05B55" w14:paraId="66162A05" w14:textId="77777777" w:rsidTr="00E33ADC">
        <w:tc>
          <w:tcPr>
            <w:tcW w:w="3007" w:type="dxa"/>
            <w:vAlign w:val="center"/>
          </w:tcPr>
          <w:p w14:paraId="32CC2BD9" w14:textId="5610B883" w:rsidR="002F7719" w:rsidRPr="00DA34BC" w:rsidRDefault="002F7719" w:rsidP="002F7719">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5DBAE5FE" w14:textId="097BC589" w:rsidR="002F7719" w:rsidRPr="00DA34BC" w:rsidRDefault="002F7719"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10</w:t>
            </w:r>
          </w:p>
        </w:tc>
      </w:tr>
      <w:tr w:rsidR="002F7719" w:rsidRPr="00A05B55" w14:paraId="13E9EDC9" w14:textId="77777777" w:rsidTr="00E33ADC">
        <w:tc>
          <w:tcPr>
            <w:tcW w:w="3007" w:type="dxa"/>
            <w:vAlign w:val="center"/>
          </w:tcPr>
          <w:p w14:paraId="395E4132" w14:textId="7A5874D1" w:rsidR="002F7719" w:rsidRPr="00DA34BC" w:rsidRDefault="002F7719" w:rsidP="002F7719">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6FF7E3C5" w14:textId="58DC1645" w:rsidR="002F7719" w:rsidRPr="00DA34BC" w:rsidRDefault="002F7719" w:rsidP="002F7719">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11</w:t>
            </w:r>
          </w:p>
        </w:tc>
      </w:tr>
      <w:tr w:rsidR="003D6C88" w:rsidRPr="00A05B55" w14:paraId="4EF4E009" w14:textId="77777777" w:rsidTr="00E33ADC">
        <w:tc>
          <w:tcPr>
            <w:tcW w:w="3007" w:type="dxa"/>
            <w:vAlign w:val="center"/>
          </w:tcPr>
          <w:p w14:paraId="65D3620F" w14:textId="5DBCE781" w:rsidR="003D6C88" w:rsidRPr="00DA34BC" w:rsidRDefault="003D6C88" w:rsidP="003D6C88">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amount in value</w:t>
            </w:r>
          </w:p>
        </w:tc>
        <w:tc>
          <w:tcPr>
            <w:tcW w:w="3655" w:type="dxa"/>
            <w:vAlign w:val="center"/>
          </w:tcPr>
          <w:p w14:paraId="7965BC47" w14:textId="09B0010D" w:rsidR="003D6C88" w:rsidRPr="00DA34BC" w:rsidRDefault="003D6C88" w:rsidP="003D6C88">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12</w:t>
            </w:r>
          </w:p>
        </w:tc>
      </w:tr>
      <w:tr w:rsidR="00313295" w:rsidRPr="00A05B55" w14:paraId="7C81DBCF" w14:textId="77777777" w:rsidTr="00FD227E">
        <w:tc>
          <w:tcPr>
            <w:tcW w:w="3007" w:type="dxa"/>
          </w:tcPr>
          <w:p w14:paraId="645695D4" w14:textId="6AAF9AEA" w:rsidR="00313295" w:rsidRPr="00DA34BC" w:rsidRDefault="00313295" w:rsidP="00313295">
            <w:pPr>
              <w:pStyle w:val="u"/>
              <w:widowControl w:val="0"/>
              <w:numPr>
                <w:ilvl w:val="12"/>
                <w:numId w:val="0"/>
              </w:numPr>
              <w:jc w:val="center"/>
              <w:rPr>
                <w:rFonts w:asciiTheme="minorHAnsi" w:hAnsiTheme="minorHAnsi" w:cstheme="minorHAnsi"/>
                <w:szCs w:val="22"/>
                <w:highlight w:val="yellow"/>
                <w:lang w:val="en"/>
              </w:rPr>
            </w:pPr>
            <w:r w:rsidRPr="009A62B8">
              <w:rPr>
                <w:rFonts w:asciiTheme="minorHAnsi" w:hAnsiTheme="minorHAnsi" w:cstheme="minorHAnsi"/>
                <w:szCs w:val="22"/>
                <w:highlight w:val="yellow"/>
                <w:lang w:val="en"/>
              </w:rPr>
              <w:t>amount in value</w:t>
            </w:r>
          </w:p>
        </w:tc>
        <w:tc>
          <w:tcPr>
            <w:tcW w:w="3655" w:type="dxa"/>
            <w:vAlign w:val="center"/>
          </w:tcPr>
          <w:p w14:paraId="68BED86E" w14:textId="715E9365" w:rsidR="00313295" w:rsidRPr="00DA34BC" w:rsidRDefault="00313295" w:rsidP="00313295">
            <w:pPr>
              <w:pStyle w:val="u"/>
              <w:widowControl w:val="0"/>
              <w:numPr>
                <w:ilvl w:val="12"/>
                <w:numId w:val="0"/>
              </w:numPr>
              <w:jc w:val="center"/>
              <w:rPr>
                <w:rFonts w:asciiTheme="minorHAnsi" w:hAnsiTheme="minorHAnsi" w:cs="Calibri"/>
                <w:szCs w:val="22"/>
                <w:highlight w:val="yellow"/>
                <w:lang w:val="en"/>
              </w:rPr>
            </w:pPr>
            <w:r w:rsidRPr="00DA34BC">
              <w:rPr>
                <w:rFonts w:asciiTheme="minorHAnsi" w:hAnsiTheme="minorHAnsi" w:cs="Calibri"/>
                <w:szCs w:val="22"/>
                <w:highlight w:val="yellow"/>
                <w:lang w:val="en"/>
              </w:rPr>
              <w:t xml:space="preserve">acceptance of the deliverable </w:t>
            </w:r>
            <w:r>
              <w:rPr>
                <w:rFonts w:asciiTheme="minorHAnsi" w:hAnsiTheme="minorHAnsi" w:cs="Calibri"/>
                <w:szCs w:val="22"/>
                <w:highlight w:val="yellow"/>
                <w:lang w:val="en"/>
              </w:rPr>
              <w:t>13</w:t>
            </w:r>
          </w:p>
        </w:tc>
      </w:tr>
    </w:tbl>
    <w:p w14:paraId="18E1EF8E" w14:textId="00046676" w:rsidR="00E637E0" w:rsidRPr="00031F69" w:rsidRDefault="00E637E0" w:rsidP="001D47A4">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w:t>
      </w:r>
      <w:bookmarkStart w:id="23" w:name="_GoBack"/>
      <w:bookmarkEnd w:id="23"/>
      <w:r w:rsidRPr="00DA34BC">
        <w:rPr>
          <w:rFonts w:asciiTheme="minorHAnsi" w:hAnsiTheme="minorHAnsi" w:cs="Arial"/>
          <w:szCs w:val="22"/>
          <w:lang w:val="en"/>
        </w:rPr>
        <w:t>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1C541A95" w:rsidR="0007670D" w:rsidRPr="00DA34BC"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853057" w:rsidRPr="00853057">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1E6F0BA" w:rsidR="0007670D"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43ADFD0A" w14:textId="77777777" w:rsidR="00A60C27" w:rsidRPr="00CC15CE" w:rsidRDefault="00A60C27"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p>
    <w:p w14:paraId="31DEB2AB" w14:textId="57BFE9E8" w:rsidR="0007670D" w:rsidRPr="00D27F14"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032D9DDD" w:rsidR="0007670D" w:rsidRPr="00A60C27" w:rsidRDefault="0007670D" w:rsidP="001D47A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080DCEED" w14:textId="77777777" w:rsidR="00A60C27" w:rsidRPr="00E45BA8" w:rsidRDefault="00A60C27" w:rsidP="00A60C27">
      <w:pPr>
        <w:pStyle w:val="Paragraphedeliste"/>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theme="minorHAnsi"/>
          <w:sz w:val="22"/>
          <w:lang w:val="en-GB"/>
        </w:rPr>
      </w:pP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02E68BF2"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853057" w:rsidRPr="00853057">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55140D0C" w:rsidR="00E637E0" w:rsidRDefault="00E637E0"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Any missing document will prevent payment.</w:t>
      </w:r>
    </w:p>
    <w:p w14:paraId="7D4559BA" w14:textId="77777777" w:rsidR="00A60C27" w:rsidRPr="00DA34BC" w:rsidRDefault="00A60C27" w:rsidP="00A1761D">
      <w:pPr>
        <w:pStyle w:val="u"/>
        <w:widowControl w:val="0"/>
        <w:numPr>
          <w:ilvl w:val="12"/>
          <w:numId w:val="0"/>
        </w:numPr>
        <w:spacing w:after="120"/>
        <w:ind w:left="561"/>
        <w:rPr>
          <w:rFonts w:asciiTheme="minorHAnsi" w:hAnsiTheme="minorHAnsi" w:cs="Arial"/>
          <w:szCs w:val="22"/>
          <w:lang w:val="en-GB"/>
        </w:rPr>
      </w:pP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19"/>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68EBD1CE" w:rsidR="008C6F83" w:rsidRDefault="00EF653D"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Payment is always made out in the name of the issuer of the invoice or of the expense reimbursement request.</w:t>
      </w:r>
    </w:p>
    <w:p w14:paraId="39DCBA22" w14:textId="77777777" w:rsidR="00A60C27" w:rsidRPr="00DA34BC" w:rsidRDefault="00A60C27" w:rsidP="00A1761D">
      <w:pPr>
        <w:pStyle w:val="u"/>
        <w:widowControl w:val="0"/>
        <w:numPr>
          <w:ilvl w:val="12"/>
          <w:numId w:val="0"/>
        </w:numPr>
        <w:spacing w:after="120"/>
        <w:ind w:left="561"/>
        <w:rPr>
          <w:rFonts w:asciiTheme="minorHAnsi" w:hAnsiTheme="minorHAnsi" w:cs="Arial"/>
          <w:szCs w:val="22"/>
          <w:lang w:val="en-GB"/>
        </w:rPr>
      </w:pP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lastRenderedPageBreak/>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1D47A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749A9EA4" w14:textId="0AA76F3B" w:rsidR="000F3E05" w:rsidRDefault="000F3E05" w:rsidP="001D47A4">
      <w:pPr>
        <w:widowControl w:val="0"/>
        <w:numPr>
          <w:ilvl w:val="0"/>
          <w:numId w:val="22"/>
        </w:numPr>
        <w:spacing w:line="240" w:lineRule="auto"/>
        <w:jc w:val="both"/>
        <w:rPr>
          <w:rFonts w:asciiTheme="minorHAnsi" w:eastAsia="Times New Roman" w:hAnsiTheme="minorHAnsi" w:cs="Arial"/>
          <w:sz w:val="22"/>
          <w:szCs w:val="22"/>
          <w:lang w:val="en-GB"/>
        </w:rPr>
      </w:pPr>
      <w:bookmarkStart w:id="34" w:name="_Toc390691470"/>
      <w:bookmarkStart w:id="35" w:name="_Toc392669641"/>
      <w:bookmarkStart w:id="36" w:name="_Toc140836325"/>
      <w:r w:rsidRPr="000F3E05">
        <w:rPr>
          <w:rFonts w:asciiTheme="minorHAnsi" w:eastAsia="Times New Roman" w:hAnsiTheme="minorHAnsi" w:cs="Arial"/>
          <w:sz w:val="22"/>
          <w:szCs w:val="22"/>
          <w:lang w:val="en-GB"/>
        </w:rPr>
        <w:t>the Project Manager, Mr. Morgan ROHEL</w:t>
      </w:r>
      <w:r w:rsidRPr="000F3E05">
        <w:rPr>
          <w:rFonts w:asciiTheme="minorHAnsi" w:eastAsia="Times New Roman" w:hAnsiTheme="minorHAnsi" w:cs="Arial"/>
          <w:sz w:val="22"/>
          <w:szCs w:val="22"/>
          <w:highlight w:val="yellow"/>
          <w:lang w:val="en-GB"/>
        </w:rPr>
        <w:t xml:space="preserve"> </w:t>
      </w:r>
    </w:p>
    <w:p w14:paraId="5462E5A0" w14:textId="77777777" w:rsidR="00A60C27" w:rsidRPr="000F3E05" w:rsidRDefault="00A60C27" w:rsidP="00A60C27">
      <w:pPr>
        <w:widowControl w:val="0"/>
        <w:spacing w:line="240" w:lineRule="auto"/>
        <w:ind w:left="1428"/>
        <w:jc w:val="both"/>
        <w:rPr>
          <w:rFonts w:asciiTheme="minorHAnsi" w:eastAsia="Times New Roman" w:hAnsiTheme="minorHAnsi" w:cs="Arial"/>
          <w:sz w:val="22"/>
          <w:szCs w:val="22"/>
          <w:lang w:val="en-GB"/>
        </w:rPr>
      </w:pP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35304298" w14:textId="77777777" w:rsidR="00391664" w:rsidRPr="00391664" w:rsidRDefault="00391664" w:rsidP="001D47A4">
      <w:pPr>
        <w:widowControl w:val="0"/>
        <w:numPr>
          <w:ilvl w:val="0"/>
          <w:numId w:val="8"/>
        </w:numPr>
        <w:spacing w:line="240" w:lineRule="auto"/>
        <w:jc w:val="both"/>
        <w:rPr>
          <w:rFonts w:asciiTheme="minorHAnsi" w:eastAsia="Times New Roman" w:hAnsiTheme="minorHAnsi" w:cs="Arial"/>
          <w:sz w:val="22"/>
          <w:szCs w:val="22"/>
          <w:lang w:val="en-GB"/>
        </w:rPr>
      </w:pPr>
      <w:r w:rsidRPr="00391664">
        <w:rPr>
          <w:rFonts w:asciiTheme="minorHAnsi" w:eastAsia="Times New Roman" w:hAnsiTheme="minorHAnsi" w:cs="Arial"/>
          <w:sz w:val="22"/>
          <w:szCs w:val="22"/>
          <w:lang w:val="en-GB"/>
        </w:rPr>
        <w:t>the Project Manager, Mr. Morgan ROHEL</w:t>
      </w:r>
    </w:p>
    <w:p w14:paraId="0A1A23D6" w14:textId="2E2153C3" w:rsidR="00391664" w:rsidRDefault="00391664" w:rsidP="001D47A4">
      <w:pPr>
        <w:widowControl w:val="0"/>
        <w:numPr>
          <w:ilvl w:val="0"/>
          <w:numId w:val="8"/>
        </w:numPr>
        <w:spacing w:line="240" w:lineRule="auto"/>
        <w:jc w:val="both"/>
        <w:rPr>
          <w:rFonts w:asciiTheme="minorHAnsi" w:eastAsia="Times New Roman" w:hAnsiTheme="minorHAnsi" w:cs="Arial"/>
          <w:sz w:val="22"/>
          <w:szCs w:val="22"/>
          <w:lang w:val="en-GB"/>
        </w:rPr>
      </w:pPr>
      <w:r w:rsidRPr="00391664">
        <w:rPr>
          <w:rFonts w:asciiTheme="minorHAnsi" w:eastAsia="Times New Roman" w:hAnsiTheme="minorHAnsi" w:cs="Arial"/>
          <w:sz w:val="22"/>
          <w:szCs w:val="22"/>
          <w:lang w:val="en-GB"/>
        </w:rPr>
        <w:t>the Technical Coordinator, Mr. Gamini SENANAYAKE</w:t>
      </w:r>
    </w:p>
    <w:p w14:paraId="37DA53EF" w14:textId="26F0601B" w:rsidR="00874185" w:rsidRDefault="00995F2B" w:rsidP="00874185">
      <w:pPr>
        <w:widowControl w:val="0"/>
        <w:numPr>
          <w:ilvl w:val="0"/>
          <w:numId w:val="8"/>
        </w:numPr>
        <w:spacing w:line="240" w:lineRule="auto"/>
        <w:jc w:val="both"/>
        <w:rPr>
          <w:rFonts w:asciiTheme="minorHAnsi" w:eastAsia="Times New Roman" w:hAnsiTheme="minorHAnsi" w:cs="Arial"/>
          <w:sz w:val="22"/>
          <w:szCs w:val="22"/>
          <w:lang w:val="en-GB"/>
        </w:rPr>
      </w:pPr>
      <w:r w:rsidRPr="00995F2B">
        <w:rPr>
          <w:rFonts w:asciiTheme="minorHAnsi" w:eastAsia="Times New Roman" w:hAnsiTheme="minorHAnsi" w:cs="Arial"/>
          <w:sz w:val="22"/>
          <w:szCs w:val="22"/>
          <w:lang w:val="en-GB"/>
        </w:rPr>
        <w:t>the Green Finance Mobilization Specialist, Shanila ATHULATHMUDALI</w:t>
      </w:r>
      <w:r w:rsidRPr="00995F2B">
        <w:rPr>
          <w:rFonts w:asciiTheme="minorHAnsi" w:eastAsia="Times New Roman" w:hAnsiTheme="minorHAnsi" w:cs="Arial"/>
          <w:sz w:val="22"/>
          <w:szCs w:val="22"/>
          <w:highlight w:val="yellow"/>
          <w:lang w:val="en-GB"/>
        </w:rPr>
        <w:t xml:space="preserve"> </w:t>
      </w:r>
    </w:p>
    <w:p w14:paraId="6EA3BBAE" w14:textId="77777777" w:rsidR="00874185" w:rsidRPr="00874185" w:rsidRDefault="00874185" w:rsidP="00874185">
      <w:pPr>
        <w:widowControl w:val="0"/>
        <w:spacing w:line="240" w:lineRule="auto"/>
        <w:ind w:left="1428"/>
        <w:jc w:val="both"/>
        <w:rPr>
          <w:rFonts w:asciiTheme="minorHAnsi" w:eastAsia="Times New Roman" w:hAnsiTheme="minorHAnsi" w:cs="Arial"/>
          <w:sz w:val="22"/>
          <w:szCs w:val="22"/>
          <w:lang w:val="en-GB"/>
        </w:rPr>
      </w:pP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1D47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1C3BB3CE" w14:textId="0557DE14" w:rsidR="00D9301A" w:rsidRPr="00E57F94" w:rsidRDefault="000A6914" w:rsidP="00E57F94">
      <w:pPr>
        <w:pStyle w:val="Titre2"/>
        <w:spacing w:before="120" w:after="60"/>
        <w:rPr>
          <w:rFonts w:asciiTheme="minorHAnsi" w:hAnsiTheme="minorHAnsi" w:cstheme="minorHAnsi"/>
          <w:sz w:val="22"/>
          <w:szCs w:val="22"/>
          <w:lang w:val="en"/>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W w:w="0" w:type="auto"/>
        <w:tblCellMar>
          <w:left w:w="0" w:type="dxa"/>
          <w:right w:w="0" w:type="dxa"/>
        </w:tblCellMar>
        <w:tblLook w:val="04A0" w:firstRow="1" w:lastRow="0" w:firstColumn="1" w:lastColumn="0" w:noHBand="0" w:noVBand="1"/>
      </w:tblPr>
      <w:tblGrid>
        <w:gridCol w:w="1542"/>
        <w:gridCol w:w="6675"/>
        <w:gridCol w:w="1417"/>
      </w:tblGrid>
      <w:tr w:rsidR="00D9301A" w:rsidRPr="00D9301A" w14:paraId="6A1BFA16" w14:textId="77777777" w:rsidTr="00345A64">
        <w:trPr>
          <w:trHeight w:val="699"/>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4927930" w14:textId="77777777" w:rsidR="00D9301A" w:rsidRPr="00345A64" w:rsidRDefault="00D9301A" w:rsidP="00345A64">
            <w:pPr>
              <w:jc w:val="center"/>
              <w:rPr>
                <w:rFonts w:asciiTheme="minorHAnsi" w:hAnsiTheme="minorHAnsi" w:cstheme="minorHAnsi"/>
                <w:b/>
                <w:bCs/>
                <w:lang w:val="en-GB"/>
              </w:rPr>
            </w:pPr>
            <w:r w:rsidRPr="00345A64">
              <w:rPr>
                <w:rFonts w:asciiTheme="minorHAnsi" w:hAnsiTheme="minorHAnsi" w:cstheme="minorHAnsi"/>
                <w:b/>
                <w:bCs/>
                <w:lang w:val="en-GB"/>
              </w:rPr>
              <w:t>Phase</w:t>
            </w: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400153" w14:textId="77777777" w:rsidR="00D9301A" w:rsidRPr="00345A64" w:rsidRDefault="00D9301A" w:rsidP="00345A64">
            <w:pPr>
              <w:jc w:val="center"/>
              <w:rPr>
                <w:rFonts w:asciiTheme="minorHAnsi" w:hAnsiTheme="minorHAnsi" w:cstheme="minorHAnsi"/>
                <w:b/>
                <w:bCs/>
                <w:lang w:val="en-GB"/>
              </w:rPr>
            </w:pPr>
            <w:r w:rsidRPr="00345A64">
              <w:rPr>
                <w:rFonts w:asciiTheme="minorHAnsi" w:hAnsiTheme="minorHAnsi" w:cstheme="minorHAnsi"/>
                <w:b/>
                <w:bCs/>
                <w:lang w:val="en-GB"/>
              </w:rPr>
              <w:t>Deliverable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7FB3A8" w14:textId="77777777" w:rsidR="00D9301A" w:rsidRPr="00345A64" w:rsidRDefault="00D9301A" w:rsidP="00345A64">
            <w:pPr>
              <w:jc w:val="center"/>
              <w:rPr>
                <w:rFonts w:asciiTheme="minorHAnsi" w:hAnsiTheme="minorHAnsi" w:cstheme="minorHAnsi"/>
                <w:b/>
                <w:lang w:val="en-GB"/>
              </w:rPr>
            </w:pPr>
            <w:r w:rsidRPr="00345A64">
              <w:rPr>
                <w:rFonts w:asciiTheme="minorHAnsi" w:hAnsiTheme="minorHAnsi" w:cstheme="minorHAnsi"/>
                <w:b/>
                <w:lang w:val="en-GB"/>
              </w:rPr>
              <w:t>Expected Submission date</w:t>
            </w:r>
          </w:p>
        </w:tc>
      </w:tr>
      <w:tr w:rsidR="00D9301A" w:rsidRPr="00D9301A" w14:paraId="16A19128" w14:textId="77777777" w:rsidTr="00345A64">
        <w:trPr>
          <w:trHeight w:val="1120"/>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4E5617D3" w14:textId="77777777" w:rsidR="00D9301A" w:rsidRPr="00345A64" w:rsidRDefault="00D9301A" w:rsidP="00D9301A">
            <w:pPr>
              <w:rPr>
                <w:rFonts w:asciiTheme="minorHAnsi" w:hAnsiTheme="minorHAnsi" w:cstheme="minorHAnsi"/>
                <w:b/>
                <w:bCs/>
                <w:lang w:val="en-GB"/>
              </w:rPr>
            </w:pPr>
            <w:r w:rsidRPr="00345A64">
              <w:rPr>
                <w:rFonts w:asciiTheme="minorHAnsi" w:hAnsiTheme="minorHAnsi" w:cstheme="minorHAnsi"/>
                <w:b/>
                <w:bCs/>
                <w:lang w:val="en-GB"/>
              </w:rPr>
              <w:t>Phase 1 -Inception</w:t>
            </w: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DCE0D4"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 xml:space="preserve">D1 -Inception Report </w:t>
            </w:r>
          </w:p>
          <w:p w14:paraId="4FAA036D"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bCs/>
                <w:lang w:val="en-GB"/>
              </w:rPr>
              <w:t xml:space="preserve">Refined workplan and methodology, includes stakeholder map, data needs, </w:t>
            </w:r>
            <w:r w:rsidRPr="00345A64">
              <w:rPr>
                <w:rFonts w:asciiTheme="minorHAnsi" w:hAnsiTheme="minorHAnsi" w:cstheme="minorHAnsi"/>
                <w:lang w:val="en-GB"/>
              </w:rPr>
              <w:t xml:space="preserve">identified studies, policies, and regulations to review, </w:t>
            </w:r>
            <w:r w:rsidRPr="00345A64">
              <w:rPr>
                <w:rFonts w:asciiTheme="minorHAnsi" w:hAnsiTheme="minorHAnsi" w:cstheme="minorHAnsi"/>
                <w:bCs/>
                <w:lang w:val="en-GB"/>
              </w:rPr>
              <w:t>identified wind farm for analysis</w:t>
            </w:r>
            <w:r w:rsidRPr="00345A64">
              <w:rPr>
                <w:rFonts w:asciiTheme="minorHAnsi" w:hAnsiTheme="minorHAnsi" w:cstheme="minorHAnsi"/>
                <w:lang w:val="en-GB"/>
              </w:rPr>
              <w:t>, risk matrix.</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524157"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+ 5 Weeks</w:t>
            </w:r>
          </w:p>
        </w:tc>
      </w:tr>
      <w:tr w:rsidR="00D9301A" w:rsidRPr="00D9301A" w14:paraId="3E07E279" w14:textId="77777777" w:rsidTr="00345A64">
        <w:trPr>
          <w:trHeight w:val="3956"/>
        </w:trPr>
        <w:tc>
          <w:tcPr>
            <w:tcW w:w="0" w:type="auto"/>
            <w:vMerge w:val="restart"/>
            <w:tcBorders>
              <w:top w:val="single" w:sz="4" w:space="0" w:color="000000"/>
              <w:left w:val="single" w:sz="4" w:space="0" w:color="000000"/>
              <w:right w:val="single" w:sz="4" w:space="0" w:color="000000"/>
            </w:tcBorders>
            <w:shd w:val="clear" w:color="auto" w:fill="FFFFFF"/>
            <w:vAlign w:val="center"/>
          </w:tcPr>
          <w:p w14:paraId="4F4A6A3F" w14:textId="77777777" w:rsidR="00D9301A" w:rsidRPr="00345A64" w:rsidDel="00576A07" w:rsidRDefault="00D9301A" w:rsidP="00D9301A">
            <w:pPr>
              <w:rPr>
                <w:rFonts w:asciiTheme="minorHAnsi" w:hAnsiTheme="minorHAnsi" w:cstheme="minorHAnsi"/>
                <w:b/>
                <w:bCs/>
                <w:lang w:val="en-GB"/>
              </w:rPr>
            </w:pPr>
            <w:r w:rsidRPr="00345A64">
              <w:rPr>
                <w:rFonts w:asciiTheme="minorHAnsi" w:hAnsiTheme="minorHAnsi" w:cstheme="minorHAnsi"/>
                <w:b/>
                <w:bCs/>
                <w:lang w:val="en-GB"/>
              </w:rPr>
              <w:lastRenderedPageBreak/>
              <w:t xml:space="preserve">Phase 2 Analysis </w:t>
            </w:r>
          </w:p>
        </w:tc>
        <w:tc>
          <w:tcPr>
            <w:tcW w:w="667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vAlign w:val="center"/>
          </w:tcPr>
          <w:p w14:paraId="74DACDFF"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D2 – Technical analysis draft report, including:</w:t>
            </w:r>
          </w:p>
          <w:p w14:paraId="091DAB0C" w14:textId="77777777" w:rsidR="00D9301A" w:rsidRPr="00345A64" w:rsidRDefault="00D9301A" w:rsidP="00D9301A">
            <w:pPr>
              <w:numPr>
                <w:ilvl w:val="0"/>
                <w:numId w:val="23"/>
              </w:numPr>
              <w:rPr>
                <w:rFonts w:asciiTheme="minorHAnsi" w:hAnsiTheme="minorHAnsi" w:cstheme="minorHAnsi"/>
                <w:b/>
                <w:u w:val="single"/>
                <w:lang w:val="en-GB"/>
              </w:rPr>
            </w:pPr>
            <w:r w:rsidRPr="00345A64">
              <w:rPr>
                <w:rFonts w:asciiTheme="minorHAnsi" w:hAnsiTheme="minorHAnsi" w:cstheme="minorHAnsi"/>
                <w:b/>
                <w:bCs/>
                <w:u w:val="single"/>
                <w:lang w:val="en-GB"/>
              </w:rPr>
              <w:t>Draft Grid integration &amp; infrastructure analysis;</w:t>
            </w:r>
          </w:p>
          <w:p w14:paraId="5237A521" w14:textId="77777777" w:rsidR="00D9301A" w:rsidRPr="00345A64" w:rsidRDefault="00D9301A" w:rsidP="00D9301A">
            <w:pPr>
              <w:numPr>
                <w:ilvl w:val="0"/>
                <w:numId w:val="23"/>
              </w:numPr>
              <w:rPr>
                <w:rFonts w:asciiTheme="minorHAnsi" w:hAnsiTheme="minorHAnsi" w:cstheme="minorHAnsi"/>
                <w:b/>
                <w:u w:val="single"/>
                <w:lang w:val="en-GB"/>
              </w:rPr>
            </w:pPr>
            <w:r w:rsidRPr="00345A64">
              <w:rPr>
                <w:rFonts w:asciiTheme="minorHAnsi" w:hAnsiTheme="minorHAnsi" w:cstheme="minorHAnsi"/>
                <w:b/>
                <w:bCs/>
                <w:u w:val="single"/>
                <w:lang w:val="en-GB"/>
              </w:rPr>
              <w:t>Draft requirement analysis for ESIA;</w:t>
            </w:r>
          </w:p>
          <w:p w14:paraId="5288FFB6" w14:textId="422D77D4" w:rsidR="00D9301A" w:rsidRPr="00345A64" w:rsidRDefault="00D9301A" w:rsidP="00345A64">
            <w:pPr>
              <w:pStyle w:val="Paragraphedeliste"/>
              <w:numPr>
                <w:ilvl w:val="0"/>
                <w:numId w:val="23"/>
              </w:numPr>
              <w:rPr>
                <w:rFonts w:asciiTheme="minorHAnsi" w:hAnsiTheme="minorHAnsi" w:cstheme="minorHAnsi"/>
                <w:b/>
                <w:u w:val="single"/>
                <w:lang w:val="en-GB"/>
              </w:rPr>
            </w:pPr>
            <w:r w:rsidRPr="00345A64">
              <w:rPr>
                <w:rFonts w:asciiTheme="minorHAnsi" w:hAnsiTheme="minorHAnsi" w:cstheme="minorHAnsi"/>
                <w:b/>
                <w:bCs/>
                <w:u w:val="single"/>
                <w:lang w:val="en-GB"/>
              </w:rPr>
              <w:t>Draft plant level technical and financial analysis</w:t>
            </w:r>
          </w:p>
          <w:p w14:paraId="232BC068" w14:textId="5CE48949" w:rsidR="00D9301A" w:rsidRPr="00345A64" w:rsidRDefault="00D9301A" w:rsidP="00345A64">
            <w:pPr>
              <w:spacing w:after="120"/>
              <w:rPr>
                <w:rFonts w:asciiTheme="minorHAnsi" w:hAnsiTheme="minorHAnsi" w:cstheme="minorHAnsi"/>
                <w:lang w:val="en-GB"/>
              </w:rPr>
            </w:pPr>
            <w:r w:rsidRPr="00345A64">
              <w:rPr>
                <w:rFonts w:asciiTheme="minorHAnsi" w:hAnsiTheme="minorHAnsi" w:cstheme="minorHAnsi"/>
                <w:lang w:val="en-GB"/>
              </w:rPr>
              <w:t>Grid integration assessment for the 1st generation wind power plants, identification of technical readiness, upgrade requirements, system-level benefits.</w:t>
            </w:r>
          </w:p>
          <w:p w14:paraId="544F57FD" w14:textId="39470619" w:rsidR="00D9301A" w:rsidRPr="00345A64" w:rsidRDefault="00D9301A" w:rsidP="00345A64">
            <w:pPr>
              <w:spacing w:before="120"/>
              <w:rPr>
                <w:rFonts w:asciiTheme="minorHAnsi" w:hAnsiTheme="minorHAnsi" w:cstheme="minorHAnsi"/>
                <w:lang w:val="en-GB"/>
              </w:rPr>
            </w:pPr>
            <w:r w:rsidRPr="00345A64">
              <w:rPr>
                <w:rFonts w:asciiTheme="minorHAnsi" w:hAnsiTheme="minorHAnsi" w:cstheme="minorHAnsi"/>
                <w:lang w:val="en-GB"/>
              </w:rPr>
              <w:t>Identification of environment and social safeguard requirements, the end-to-end process relevant to wind repowering, estimation of time and costs required, ESIA international best practices and standards necessary for bankability requirements.</w:t>
            </w:r>
          </w:p>
          <w:p w14:paraId="02EF6665" w14:textId="77777777" w:rsidR="00D9301A" w:rsidRPr="00345A64" w:rsidDel="00576A07" w:rsidRDefault="00D9301A" w:rsidP="00345A64">
            <w:pPr>
              <w:spacing w:before="120"/>
              <w:rPr>
                <w:rFonts w:asciiTheme="minorHAnsi" w:hAnsiTheme="minorHAnsi" w:cstheme="minorHAnsi"/>
                <w:lang w:val="en-GB"/>
              </w:rPr>
            </w:pPr>
            <w:r w:rsidRPr="00345A64">
              <w:rPr>
                <w:rFonts w:asciiTheme="minorHAnsi" w:hAnsiTheme="minorHAnsi" w:cstheme="minorHAnsi"/>
                <w:lang w:val="en-GB"/>
              </w:rPr>
              <w:t>Assessment of financial and technical feasibility of repowering an existing 1st generation wind power plant based on existing data and information.</w:t>
            </w:r>
          </w:p>
        </w:tc>
        <w:tc>
          <w:tcPr>
            <w:tcW w:w="1417"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vAlign w:val="center"/>
          </w:tcPr>
          <w:p w14:paraId="3537F03B"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T0 + 19 weeks</w:t>
            </w:r>
          </w:p>
        </w:tc>
      </w:tr>
      <w:tr w:rsidR="00D9301A" w:rsidRPr="00D9301A" w14:paraId="70F15F97" w14:textId="77777777" w:rsidTr="00345A64">
        <w:trPr>
          <w:trHeight w:val="1255"/>
        </w:trPr>
        <w:tc>
          <w:tcPr>
            <w:tcW w:w="0" w:type="auto"/>
            <w:vMerge/>
            <w:tcBorders>
              <w:left w:val="single" w:sz="4" w:space="0" w:color="000000"/>
              <w:right w:val="single" w:sz="4" w:space="0" w:color="000000"/>
            </w:tcBorders>
            <w:shd w:val="clear" w:color="auto" w:fill="FFFFFF"/>
            <w:vAlign w:val="center"/>
          </w:tcPr>
          <w:p w14:paraId="4F882109"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683162"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D3 – Short Interim Technical Validation Workshop</w:t>
            </w:r>
            <w:r w:rsidRPr="00345A64">
              <w:rPr>
                <w:rFonts w:asciiTheme="minorHAnsi" w:hAnsiTheme="minorHAnsi" w:cstheme="minorHAnsi"/>
                <w:b/>
                <w:u w:val="single"/>
                <w:lang w:val="en-GB"/>
              </w:rPr>
              <w:t xml:space="preserve"> </w:t>
            </w:r>
          </w:p>
          <w:p w14:paraId="1C3B51A6"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Summary of stakeholder feedback on technical assessment and recommendations; including attendee list using EF Excel format and the Presentation used.</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B80700"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+ 23 Weeks</w:t>
            </w:r>
          </w:p>
        </w:tc>
      </w:tr>
      <w:tr w:rsidR="00D9301A" w:rsidRPr="00D9301A" w14:paraId="76566990" w14:textId="77777777" w:rsidTr="00345A64">
        <w:trPr>
          <w:trHeight w:val="1408"/>
        </w:trPr>
        <w:tc>
          <w:tcPr>
            <w:tcW w:w="0" w:type="auto"/>
            <w:vMerge/>
            <w:tcBorders>
              <w:left w:val="single" w:sz="4" w:space="0" w:color="000000"/>
              <w:right w:val="single" w:sz="4" w:space="0" w:color="000000"/>
            </w:tcBorders>
            <w:shd w:val="clear" w:color="auto" w:fill="FFFFFF"/>
            <w:vAlign w:val="center"/>
          </w:tcPr>
          <w:p w14:paraId="76ED26D4"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F78057"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 xml:space="preserve">D4- Final Technical Analysis and Recommendation Reports </w:t>
            </w:r>
          </w:p>
          <w:p w14:paraId="6C033DAE"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bCs/>
                <w:lang w:val="en-GB"/>
              </w:rPr>
              <w:t>Final Technical Analysis and Recommendations Reports incorporating stakeholders’ feedback</w:t>
            </w:r>
            <w:r w:rsidRPr="00345A64">
              <w:rPr>
                <w:rFonts w:asciiTheme="minorHAnsi" w:hAnsiTheme="minorHAnsi" w:cstheme="minorHAnsi"/>
                <w:lang w:val="en-GB"/>
              </w:rPr>
              <w:t xml:space="preserve"> (on Grid integration &amp; infrastructure analysis, ESIA, and Plant level technical and financial analysis report)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621F45"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+ 25 Weeks</w:t>
            </w:r>
          </w:p>
        </w:tc>
      </w:tr>
      <w:tr w:rsidR="00D9301A" w:rsidRPr="00D9301A" w14:paraId="493FBF11" w14:textId="77777777" w:rsidTr="00345A64">
        <w:trPr>
          <w:trHeight w:val="2421"/>
        </w:trPr>
        <w:tc>
          <w:tcPr>
            <w:tcW w:w="0" w:type="auto"/>
            <w:vMerge/>
            <w:tcBorders>
              <w:left w:val="single" w:sz="4" w:space="0" w:color="000000"/>
              <w:right w:val="single" w:sz="4" w:space="0" w:color="000000"/>
            </w:tcBorders>
            <w:shd w:val="clear" w:color="auto" w:fill="FFFFFF"/>
            <w:vAlign w:val="center"/>
          </w:tcPr>
          <w:p w14:paraId="6C1CAECC"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6AC11F"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D5 – Macro-level perspectives analysis draft report, including:</w:t>
            </w:r>
          </w:p>
          <w:p w14:paraId="517F8339" w14:textId="77777777" w:rsidR="00D9301A" w:rsidRPr="00345A64" w:rsidRDefault="00D9301A" w:rsidP="00D9301A">
            <w:pPr>
              <w:numPr>
                <w:ilvl w:val="0"/>
                <w:numId w:val="24"/>
              </w:numPr>
              <w:rPr>
                <w:rFonts w:asciiTheme="minorHAnsi" w:hAnsiTheme="minorHAnsi" w:cstheme="minorHAnsi"/>
                <w:b/>
                <w:bCs/>
                <w:u w:val="single"/>
                <w:lang w:val="en-GB"/>
              </w:rPr>
            </w:pPr>
            <w:r w:rsidRPr="00345A64">
              <w:rPr>
                <w:rFonts w:asciiTheme="minorHAnsi" w:hAnsiTheme="minorHAnsi" w:cstheme="minorHAnsi"/>
                <w:b/>
                <w:bCs/>
                <w:u w:val="single"/>
                <w:lang w:val="en-GB"/>
              </w:rPr>
              <w:t>National benefit analysis &amp; a draft report;</w:t>
            </w:r>
          </w:p>
          <w:p w14:paraId="23DA0E0E" w14:textId="77777777" w:rsidR="00D9301A" w:rsidRPr="00345A64" w:rsidRDefault="00D9301A" w:rsidP="00345A64">
            <w:pPr>
              <w:pStyle w:val="Paragraphedeliste"/>
              <w:numPr>
                <w:ilvl w:val="0"/>
                <w:numId w:val="24"/>
              </w:numPr>
              <w:rPr>
                <w:rFonts w:asciiTheme="minorHAnsi" w:hAnsiTheme="minorHAnsi" w:cstheme="minorHAnsi"/>
                <w:b/>
                <w:u w:val="single"/>
                <w:lang w:val="en-GB"/>
              </w:rPr>
            </w:pPr>
            <w:r w:rsidRPr="00345A64">
              <w:rPr>
                <w:rFonts w:asciiTheme="minorHAnsi" w:hAnsiTheme="minorHAnsi" w:cstheme="minorHAnsi"/>
                <w:b/>
                <w:bCs/>
                <w:u w:val="single"/>
                <w:lang w:val="en-GB"/>
              </w:rPr>
              <w:t>Policy, regulatory &amp; best practice enablers analysis</w:t>
            </w:r>
          </w:p>
          <w:p w14:paraId="7F59FB96" w14:textId="77777777" w:rsidR="00D9301A" w:rsidRPr="00345A64" w:rsidRDefault="00D9301A" w:rsidP="00D9301A">
            <w:pPr>
              <w:rPr>
                <w:rFonts w:asciiTheme="minorHAnsi" w:hAnsiTheme="minorHAnsi" w:cstheme="minorHAnsi"/>
                <w:lang w:val="en-GB"/>
              </w:rPr>
            </w:pPr>
          </w:p>
          <w:p w14:paraId="3A1594CA"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Assessment of national benefits of repowering all 1</w:t>
            </w:r>
            <w:r w:rsidRPr="00345A64">
              <w:rPr>
                <w:rFonts w:asciiTheme="minorHAnsi" w:hAnsiTheme="minorHAnsi" w:cstheme="minorHAnsi"/>
                <w:vertAlign w:val="superscript"/>
                <w:lang w:val="en-GB"/>
              </w:rPr>
              <w:t>st</w:t>
            </w:r>
            <w:r w:rsidRPr="00345A64">
              <w:rPr>
                <w:rFonts w:asciiTheme="minorHAnsi" w:hAnsiTheme="minorHAnsi" w:cstheme="minorHAnsi"/>
                <w:lang w:val="en-GB"/>
              </w:rPr>
              <w:t xml:space="preserve"> generation wind power plants in the west coast of the Puttalam disctric.</w:t>
            </w:r>
          </w:p>
          <w:p w14:paraId="68F9E76A" w14:textId="77777777" w:rsidR="00D9301A" w:rsidRPr="00345A64" w:rsidRDefault="00D9301A" w:rsidP="00D9301A">
            <w:pPr>
              <w:rPr>
                <w:rFonts w:asciiTheme="minorHAnsi" w:hAnsiTheme="minorHAnsi" w:cstheme="minorHAnsi"/>
                <w:lang w:val="en-GB"/>
              </w:rPr>
            </w:pPr>
          </w:p>
          <w:p w14:paraId="562FCC23"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Review of related existing policies, regulations and best practices, identification of gaps and barriers for wind energy expansion and/or repowering</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B73382"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+ 27 Weeks</w:t>
            </w:r>
          </w:p>
        </w:tc>
      </w:tr>
      <w:tr w:rsidR="00D9301A" w:rsidRPr="00D9301A" w14:paraId="7936208F" w14:textId="77777777" w:rsidTr="00345A64">
        <w:trPr>
          <w:trHeight w:val="1408"/>
        </w:trPr>
        <w:tc>
          <w:tcPr>
            <w:tcW w:w="0" w:type="auto"/>
            <w:vMerge/>
            <w:tcBorders>
              <w:left w:val="single" w:sz="4" w:space="0" w:color="000000"/>
              <w:right w:val="single" w:sz="4" w:space="0" w:color="000000"/>
            </w:tcBorders>
            <w:shd w:val="clear" w:color="auto" w:fill="FFFFFF"/>
            <w:vAlign w:val="center"/>
          </w:tcPr>
          <w:p w14:paraId="2D91DBE7"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ADE68A" w14:textId="77777777" w:rsidR="00D9301A" w:rsidRPr="00345A64" w:rsidRDefault="00D9301A" w:rsidP="00D9301A">
            <w:pPr>
              <w:rPr>
                <w:rFonts w:asciiTheme="minorHAnsi" w:hAnsiTheme="minorHAnsi" w:cstheme="minorHAnsi"/>
                <w:bCs/>
                <w:lang w:val="en-GB"/>
              </w:rPr>
            </w:pPr>
          </w:p>
          <w:p w14:paraId="5D7209C2"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D6 – Short interim Macro-level perspectives validation workshop report</w:t>
            </w:r>
            <w:r w:rsidRPr="00345A64">
              <w:rPr>
                <w:rFonts w:asciiTheme="minorHAnsi" w:hAnsiTheme="minorHAnsi" w:cstheme="minorHAnsi"/>
                <w:b/>
                <w:u w:val="single"/>
                <w:lang w:val="en-GB"/>
              </w:rPr>
              <w:t xml:space="preserve"> </w:t>
            </w:r>
          </w:p>
          <w:p w14:paraId="7AED3835" w14:textId="77777777" w:rsidR="00D9301A" w:rsidRPr="00345A64" w:rsidRDefault="00D9301A" w:rsidP="00D9301A">
            <w:pPr>
              <w:rPr>
                <w:rFonts w:asciiTheme="minorHAnsi" w:hAnsiTheme="minorHAnsi" w:cstheme="minorHAnsi"/>
                <w:bCs/>
                <w:lang w:val="en-GB"/>
              </w:rPr>
            </w:pPr>
            <w:r w:rsidRPr="00345A64">
              <w:rPr>
                <w:rFonts w:asciiTheme="minorHAnsi" w:hAnsiTheme="minorHAnsi" w:cstheme="minorHAnsi"/>
                <w:lang w:val="en-GB"/>
              </w:rPr>
              <w:t xml:space="preserve">Summary of stakeholder feedback on </w:t>
            </w:r>
            <w:r w:rsidRPr="00345A64">
              <w:rPr>
                <w:rFonts w:asciiTheme="minorHAnsi" w:hAnsiTheme="minorHAnsi" w:cstheme="minorHAnsi"/>
                <w:bCs/>
                <w:lang w:val="en-GB"/>
              </w:rPr>
              <w:t xml:space="preserve">National Benefit analysis and Policy and regulatory </w:t>
            </w:r>
            <w:r w:rsidRPr="00345A64">
              <w:rPr>
                <w:rFonts w:asciiTheme="minorHAnsi" w:hAnsiTheme="minorHAnsi" w:cstheme="minorHAnsi"/>
                <w:lang w:val="en-GB"/>
              </w:rPr>
              <w:t>assessment and recommendations; including attendee list using EF Excel format and the Presentation used.</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923632"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+ 31 Weeks</w:t>
            </w:r>
          </w:p>
        </w:tc>
      </w:tr>
      <w:tr w:rsidR="00D9301A" w:rsidRPr="00D9301A" w14:paraId="57790A6F" w14:textId="77777777" w:rsidTr="00345A64">
        <w:trPr>
          <w:trHeight w:val="1408"/>
        </w:trPr>
        <w:tc>
          <w:tcPr>
            <w:tcW w:w="0" w:type="auto"/>
            <w:vMerge/>
            <w:tcBorders>
              <w:left w:val="single" w:sz="4" w:space="0" w:color="000000"/>
              <w:right w:val="single" w:sz="4" w:space="0" w:color="000000"/>
            </w:tcBorders>
            <w:shd w:val="clear" w:color="auto" w:fill="FFFFFF"/>
            <w:vAlign w:val="center"/>
          </w:tcPr>
          <w:p w14:paraId="2C8C0CA8" w14:textId="77777777" w:rsidR="00D9301A" w:rsidRPr="00345A64" w:rsidDel="00576A07"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3CE4281"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u w:val="single"/>
                <w:lang w:val="en-GB"/>
              </w:rPr>
              <w:t>D7 – Final Macro-level perspectives Reports</w:t>
            </w:r>
            <w:r w:rsidRPr="00345A64">
              <w:rPr>
                <w:rFonts w:asciiTheme="minorHAnsi" w:hAnsiTheme="minorHAnsi" w:cstheme="minorHAnsi"/>
                <w:b/>
                <w:bCs/>
                <w:u w:val="single"/>
                <w:lang w:val="en-GB"/>
              </w:rPr>
              <w:t xml:space="preserve"> </w:t>
            </w:r>
          </w:p>
          <w:p w14:paraId="6ADA0E8D"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bCs/>
                <w:lang w:val="en-GB"/>
              </w:rPr>
              <w:t>Final Macro-level Perspective Analysis and Recommendations Reports incorporating stakeholders’ feedback</w:t>
            </w:r>
            <w:r w:rsidRPr="00345A64">
              <w:rPr>
                <w:rFonts w:asciiTheme="minorHAnsi" w:hAnsiTheme="minorHAnsi" w:cstheme="minorHAnsi"/>
                <w:lang w:val="en-GB"/>
              </w:rPr>
              <w:t xml:space="preserve"> </w:t>
            </w:r>
            <w:r w:rsidRPr="00345A64">
              <w:rPr>
                <w:rFonts w:asciiTheme="minorHAnsi" w:hAnsiTheme="minorHAnsi" w:cstheme="minorHAnsi"/>
                <w:bCs/>
                <w:lang w:val="en-GB"/>
              </w:rPr>
              <w:t>(on National Benefit analysis and Policy and regulatory recommendations)</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6D2032"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T0 + 32 Weeks</w:t>
            </w:r>
          </w:p>
        </w:tc>
      </w:tr>
      <w:tr w:rsidR="00D9301A" w:rsidRPr="00D9301A" w14:paraId="42FD6752" w14:textId="77777777" w:rsidTr="00345A64">
        <w:trPr>
          <w:trHeight w:val="1797"/>
        </w:trPr>
        <w:tc>
          <w:tcPr>
            <w:tcW w:w="0" w:type="auto"/>
            <w:vMerge/>
            <w:tcBorders>
              <w:left w:val="single" w:sz="4" w:space="0" w:color="000000"/>
              <w:right w:val="single" w:sz="4" w:space="0" w:color="000000"/>
            </w:tcBorders>
            <w:shd w:val="clear" w:color="auto" w:fill="FFFFFF"/>
            <w:vAlign w:val="center"/>
          </w:tcPr>
          <w:p w14:paraId="59923038" w14:textId="77777777" w:rsidR="00D9301A" w:rsidRPr="00345A64" w:rsidDel="00576A07"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50C3C3" w14:textId="77777777" w:rsidR="00D9301A" w:rsidRPr="00345A64" w:rsidRDefault="00D9301A" w:rsidP="00D9301A">
            <w:pPr>
              <w:rPr>
                <w:rFonts w:asciiTheme="minorHAnsi" w:hAnsiTheme="minorHAnsi" w:cstheme="minorHAnsi"/>
                <w:lang w:val="en-GB"/>
              </w:rPr>
            </w:pPr>
          </w:p>
          <w:p w14:paraId="2D72ED80"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D8 – Funding sources and pathways for the Puttalam District report</w:t>
            </w:r>
          </w:p>
          <w:p w14:paraId="2D0E234A"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Identification of tangible and actionable funding sources and pathways.</w:t>
            </w:r>
          </w:p>
          <w:p w14:paraId="126C94EB" w14:textId="77777777" w:rsidR="00D9301A" w:rsidRPr="00345A64" w:rsidRDefault="00D9301A" w:rsidP="00D9301A">
            <w:pPr>
              <w:rPr>
                <w:rFonts w:asciiTheme="minorHAnsi" w:hAnsiTheme="minorHAnsi" w:cstheme="minorHAnsi"/>
                <w:lang w:val="en-GB"/>
              </w:rPr>
            </w:pPr>
          </w:p>
          <w:p w14:paraId="6A99B656"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Results of the direct engagement with the funding sources to ensure a concrete way forward.</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F4FF93"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+ 35 Weeks</w:t>
            </w:r>
          </w:p>
        </w:tc>
      </w:tr>
      <w:tr w:rsidR="00D9301A" w:rsidRPr="00D9301A" w14:paraId="05200885" w14:textId="77777777" w:rsidTr="00345A64">
        <w:trPr>
          <w:trHeight w:val="1263"/>
        </w:trPr>
        <w:tc>
          <w:tcPr>
            <w:tcW w:w="0" w:type="auto"/>
            <w:vMerge/>
            <w:tcBorders>
              <w:left w:val="single" w:sz="4" w:space="0" w:color="000000"/>
              <w:right w:val="single" w:sz="4" w:space="0" w:color="000000"/>
            </w:tcBorders>
            <w:shd w:val="clear" w:color="auto" w:fill="FFFFFF"/>
            <w:vAlign w:val="center"/>
          </w:tcPr>
          <w:p w14:paraId="0E71821E" w14:textId="77777777" w:rsidR="00D9301A" w:rsidRPr="00345A64" w:rsidDel="00576A07"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997DC2"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D9 - Draft roadmap for repowering of 1st generation wind power plants in the Puttalam District</w:t>
            </w:r>
            <w:r w:rsidRPr="00345A64">
              <w:rPr>
                <w:rFonts w:asciiTheme="minorHAnsi" w:hAnsiTheme="minorHAnsi" w:cstheme="minorHAnsi"/>
                <w:b/>
                <w:u w:val="single"/>
                <w:lang w:val="en-GB"/>
              </w:rPr>
              <w:t xml:space="preserve"> </w:t>
            </w:r>
          </w:p>
          <w:p w14:paraId="227A528C"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 xml:space="preserve">Development of a draft roadmap for repowering 1st generation wind power plants in west coast of the Puttalam District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BD7AE2"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+ 35 Weeks</w:t>
            </w:r>
          </w:p>
        </w:tc>
      </w:tr>
      <w:tr w:rsidR="00D9301A" w:rsidRPr="00D9301A" w14:paraId="368C0DC4" w14:textId="77777777" w:rsidTr="00345A64">
        <w:trPr>
          <w:trHeight w:val="969"/>
        </w:trPr>
        <w:tc>
          <w:tcPr>
            <w:tcW w:w="0" w:type="auto"/>
            <w:vMerge/>
            <w:tcBorders>
              <w:left w:val="single" w:sz="4" w:space="0" w:color="000000"/>
              <w:bottom w:val="single" w:sz="4" w:space="0" w:color="000000"/>
              <w:right w:val="single" w:sz="4" w:space="0" w:color="000000"/>
            </w:tcBorders>
            <w:shd w:val="clear" w:color="auto" w:fill="FFFFFF"/>
            <w:vAlign w:val="center"/>
          </w:tcPr>
          <w:p w14:paraId="38F396AE"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E86C2C"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D10 – Short roadmap validation workshop report.</w:t>
            </w:r>
          </w:p>
          <w:p w14:paraId="368AC175"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 xml:space="preserve">Summary of stakeholder feedback on </w:t>
            </w:r>
            <w:r w:rsidRPr="00345A64">
              <w:rPr>
                <w:rFonts w:asciiTheme="minorHAnsi" w:hAnsiTheme="minorHAnsi" w:cstheme="minorHAnsi"/>
                <w:bCs/>
                <w:lang w:val="en-GB"/>
              </w:rPr>
              <w:t>the roadmap</w:t>
            </w:r>
            <w:r w:rsidRPr="00345A64">
              <w:rPr>
                <w:rFonts w:asciiTheme="minorHAnsi" w:hAnsiTheme="minorHAnsi" w:cstheme="minorHAnsi"/>
                <w:lang w:val="en-GB"/>
              </w:rPr>
              <w:t>; including attendee list using EF Excel format and the Presentation used.</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2C6785"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+ 39 Weeks</w:t>
            </w:r>
          </w:p>
        </w:tc>
      </w:tr>
      <w:tr w:rsidR="00D9301A" w:rsidRPr="00D9301A" w14:paraId="209446B9" w14:textId="77777777" w:rsidTr="00345A64">
        <w:trPr>
          <w:trHeight w:val="983"/>
        </w:trPr>
        <w:tc>
          <w:tcPr>
            <w:tcW w:w="0" w:type="auto"/>
            <w:vMerge w:val="restart"/>
            <w:tcBorders>
              <w:top w:val="single" w:sz="4" w:space="0" w:color="000000"/>
              <w:left w:val="single" w:sz="4" w:space="0" w:color="000000"/>
              <w:right w:val="single" w:sz="4" w:space="0" w:color="000000"/>
            </w:tcBorders>
            <w:shd w:val="clear" w:color="auto" w:fill="FFFFFF"/>
            <w:vAlign w:val="center"/>
          </w:tcPr>
          <w:p w14:paraId="35F8F7BD" w14:textId="77777777" w:rsidR="00D9301A" w:rsidRPr="00345A64" w:rsidDel="00576A07" w:rsidRDefault="00D9301A" w:rsidP="00D9301A">
            <w:pPr>
              <w:rPr>
                <w:rFonts w:asciiTheme="minorHAnsi" w:hAnsiTheme="minorHAnsi" w:cstheme="minorHAnsi"/>
                <w:b/>
                <w:bCs/>
                <w:lang w:val="en-GB"/>
              </w:rPr>
            </w:pPr>
            <w:r w:rsidRPr="00345A64">
              <w:rPr>
                <w:rFonts w:asciiTheme="minorHAnsi" w:hAnsiTheme="minorHAnsi" w:cstheme="minorHAnsi"/>
                <w:b/>
                <w:bCs/>
                <w:lang w:val="en-GB"/>
              </w:rPr>
              <w:t xml:space="preserve">Phase 3 -Delivery </w:t>
            </w: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B44D7D7"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D11 -Final report with recommendations</w:t>
            </w:r>
          </w:p>
          <w:p w14:paraId="0B192634"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 xml:space="preserve">Final consolidated report – Synthesis of all findings and recommendations for 1st generation wind repowering, including a specific focus in the west coast of the Puttalam District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DB5D39"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+ 45 Week</w:t>
            </w:r>
          </w:p>
        </w:tc>
      </w:tr>
      <w:tr w:rsidR="00D9301A" w:rsidRPr="00D9301A" w14:paraId="4DA32A11" w14:textId="77777777" w:rsidTr="00345A64">
        <w:trPr>
          <w:trHeight w:val="984"/>
        </w:trPr>
        <w:tc>
          <w:tcPr>
            <w:tcW w:w="0" w:type="auto"/>
            <w:vMerge/>
            <w:tcBorders>
              <w:left w:val="single" w:sz="4" w:space="0" w:color="000000"/>
              <w:right w:val="single" w:sz="4" w:space="0" w:color="000000"/>
            </w:tcBorders>
            <w:shd w:val="clear" w:color="auto" w:fill="FFFFFF"/>
            <w:vAlign w:val="center"/>
          </w:tcPr>
          <w:p w14:paraId="7369FA13" w14:textId="77777777" w:rsidR="00D9301A" w:rsidRPr="00345A64" w:rsidDel="00576A07"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ABA70F" w14:textId="77777777" w:rsidR="00D9301A" w:rsidRPr="00345A64" w:rsidRDefault="00D9301A" w:rsidP="00D9301A">
            <w:pPr>
              <w:rPr>
                <w:rFonts w:asciiTheme="minorHAnsi" w:hAnsiTheme="minorHAnsi" w:cstheme="minorHAnsi"/>
                <w:b/>
                <w:bCs/>
                <w:u w:val="single"/>
                <w:lang w:val="en-GB"/>
              </w:rPr>
            </w:pPr>
            <w:r w:rsidRPr="00345A64">
              <w:rPr>
                <w:rFonts w:asciiTheme="minorHAnsi" w:hAnsiTheme="minorHAnsi" w:cstheme="minorHAnsi"/>
                <w:b/>
                <w:bCs/>
                <w:u w:val="single"/>
                <w:lang w:val="en-GB"/>
              </w:rPr>
              <w:t>D12 -Policy briefs</w:t>
            </w:r>
          </w:p>
          <w:p w14:paraId="2B34C38A"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bCs/>
                <w:lang w:val="en-GB"/>
              </w:rPr>
              <w:t>Policy briefs for recommendations and the roadmap to be used for the dissemination of results to decision / policy makers and relevant stakeholders</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3E5DDA"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+ 45 Weeks</w:t>
            </w:r>
          </w:p>
        </w:tc>
      </w:tr>
      <w:tr w:rsidR="00D9301A" w:rsidRPr="00D9301A" w14:paraId="3E3A5C52" w14:textId="77777777" w:rsidTr="00345A64">
        <w:trPr>
          <w:trHeight w:val="984"/>
        </w:trPr>
        <w:tc>
          <w:tcPr>
            <w:tcW w:w="0" w:type="auto"/>
            <w:vMerge/>
            <w:tcBorders>
              <w:left w:val="single" w:sz="4" w:space="0" w:color="000000"/>
              <w:bottom w:val="single" w:sz="4" w:space="0" w:color="000000"/>
              <w:right w:val="single" w:sz="4" w:space="0" w:color="000000"/>
            </w:tcBorders>
            <w:shd w:val="clear" w:color="auto" w:fill="FFFFFF"/>
            <w:vAlign w:val="center"/>
          </w:tcPr>
          <w:p w14:paraId="0791BF06" w14:textId="77777777" w:rsidR="00D9301A" w:rsidRPr="00345A64" w:rsidRDefault="00D9301A" w:rsidP="00D9301A">
            <w:pPr>
              <w:rPr>
                <w:rFonts w:asciiTheme="minorHAnsi" w:hAnsiTheme="minorHAnsi" w:cstheme="minorHAnsi"/>
                <w:b/>
                <w:bCs/>
                <w:lang w:val="en-GB"/>
              </w:rPr>
            </w:pPr>
          </w:p>
        </w:tc>
        <w:tc>
          <w:tcPr>
            <w:tcW w:w="6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59EB6B" w14:textId="77777777" w:rsidR="00D9301A" w:rsidRPr="00345A64" w:rsidRDefault="00D9301A" w:rsidP="00D9301A">
            <w:pPr>
              <w:rPr>
                <w:rFonts w:asciiTheme="minorHAnsi" w:hAnsiTheme="minorHAnsi" w:cstheme="minorHAnsi"/>
                <w:b/>
                <w:u w:val="single"/>
                <w:lang w:val="en-GB"/>
              </w:rPr>
            </w:pPr>
            <w:r w:rsidRPr="00345A64">
              <w:rPr>
                <w:rFonts w:asciiTheme="minorHAnsi" w:hAnsiTheme="minorHAnsi" w:cstheme="minorHAnsi"/>
                <w:b/>
                <w:bCs/>
                <w:u w:val="single"/>
                <w:lang w:val="en-GB"/>
              </w:rPr>
              <w:t>D13– Short Dissemination event report</w:t>
            </w:r>
            <w:r w:rsidRPr="00345A64">
              <w:rPr>
                <w:rFonts w:asciiTheme="minorHAnsi" w:hAnsiTheme="minorHAnsi" w:cstheme="minorHAnsi"/>
                <w:b/>
                <w:u w:val="single"/>
                <w:lang w:val="en-GB"/>
              </w:rPr>
              <w:t xml:space="preserve"> </w:t>
            </w:r>
          </w:p>
          <w:p w14:paraId="7DA96872" w14:textId="77777777" w:rsidR="00D9301A" w:rsidRPr="00345A64" w:rsidDel="00576A07" w:rsidRDefault="00D9301A" w:rsidP="00D9301A">
            <w:pPr>
              <w:rPr>
                <w:rFonts w:asciiTheme="minorHAnsi" w:hAnsiTheme="minorHAnsi" w:cstheme="minorHAnsi"/>
                <w:lang w:val="en-GB"/>
              </w:rPr>
            </w:pPr>
            <w:r w:rsidRPr="00345A64">
              <w:rPr>
                <w:rFonts w:asciiTheme="minorHAnsi" w:hAnsiTheme="minorHAnsi" w:cstheme="minorHAnsi"/>
                <w:lang w:val="en-GB"/>
              </w:rPr>
              <w:t>Summary of the recommendation event; including attendee list using EF Excel format and the Presentation used</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18D1ED" w14:textId="77777777" w:rsidR="00D9301A" w:rsidRPr="00345A64" w:rsidRDefault="00D9301A" w:rsidP="00D9301A">
            <w:pPr>
              <w:rPr>
                <w:rFonts w:asciiTheme="minorHAnsi" w:hAnsiTheme="minorHAnsi" w:cstheme="minorHAnsi"/>
                <w:lang w:val="en-GB"/>
              </w:rPr>
            </w:pPr>
            <w:r w:rsidRPr="00345A64">
              <w:rPr>
                <w:rFonts w:asciiTheme="minorHAnsi" w:hAnsiTheme="minorHAnsi" w:cstheme="minorHAnsi"/>
                <w:lang w:val="en-GB"/>
              </w:rPr>
              <w:t>T0 + 50 Weeks</w:t>
            </w:r>
          </w:p>
        </w:tc>
      </w:tr>
    </w:tbl>
    <w:p w14:paraId="4120F49D" w14:textId="47AFF288" w:rsidR="00003AF7" w:rsidRDefault="00C736C4" w:rsidP="00C736C4">
      <w:pPr>
        <w:rPr>
          <w:lang w:val="en"/>
        </w:rPr>
      </w:pPr>
      <w:r w:rsidRPr="00C736C4">
        <w:rPr>
          <w:lang w:val="en"/>
        </w:rPr>
        <w:t>*T0 = Date of the notification of the contract</w:t>
      </w: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259DA969" w14:textId="77777777" w:rsidR="00931652" w:rsidRPr="00931652" w:rsidRDefault="00931652" w:rsidP="00931652">
      <w:pPr>
        <w:widowControl w:val="0"/>
        <w:overflowPunct w:val="0"/>
        <w:autoSpaceDE w:val="0"/>
        <w:autoSpaceDN w:val="0"/>
        <w:adjustRightInd w:val="0"/>
        <w:spacing w:before="120" w:line="240" w:lineRule="auto"/>
        <w:ind w:left="561"/>
        <w:jc w:val="both"/>
        <w:textAlignment w:val="baseline"/>
        <w:rPr>
          <w:rFonts w:asciiTheme="minorHAnsi" w:eastAsia="Times New Roman" w:hAnsiTheme="minorHAnsi" w:cs="Calibri"/>
          <w:sz w:val="22"/>
          <w:szCs w:val="22"/>
          <w:lang w:val="en-GB"/>
        </w:rPr>
      </w:pPr>
      <w:bookmarkStart w:id="44" w:name="_Toc140836330"/>
      <w:r w:rsidRPr="00931652">
        <w:rPr>
          <w:rFonts w:asciiTheme="minorHAnsi" w:eastAsia="Times New Roman" w:hAnsiTheme="minorHAnsi" w:cs="Calibri"/>
          <w:sz w:val="22"/>
          <w:szCs w:val="22"/>
          <w:lang w:val="en-GB"/>
        </w:rPr>
        <w:t xml:space="preserve">The services will be performed in mainly in Sri Lanka and remotely.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5" w:name="_Toc140836332"/>
      <w:bookmarkEnd w:id="44"/>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6" w:name="_Toc392669645"/>
      <w:bookmarkStart w:id="47" w:name="_Toc140836333"/>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1D47A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1D47A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w:t>
      </w:r>
      <w:r w:rsidRPr="0041061D">
        <w:rPr>
          <w:rFonts w:asciiTheme="minorHAnsi" w:hAnsiTheme="minorHAnsi" w:cs="Arial"/>
          <w:szCs w:val="22"/>
          <w:lang w:val="en"/>
        </w:rPr>
        <w:lastRenderedPageBreak/>
        <w:t xml:space="preserve">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1D47A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1D47A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1D47A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1D47A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1D47A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1D47A4">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1D47A4">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8" w:name="_Toc392669646"/>
      <w:bookmarkStart w:id="49" w:name="_Toc140836334"/>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1D47A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D82702" w:rsidRDefault="00122959" w:rsidP="00A1761D">
      <w:pPr>
        <w:pStyle w:val="Titre2"/>
        <w:spacing w:before="120" w:after="60"/>
        <w:jc w:val="both"/>
        <w:rPr>
          <w:rFonts w:asciiTheme="minorHAnsi" w:hAnsiTheme="minorHAnsi"/>
          <w:sz w:val="22"/>
          <w:szCs w:val="22"/>
          <w:lang w:val="en-US"/>
        </w:rPr>
      </w:pPr>
      <w:bookmarkStart w:id="50" w:name="_Toc392669649"/>
      <w:bookmarkStart w:id="51" w:name="_Toc140836336"/>
      <w:r w:rsidRPr="00567093">
        <w:rPr>
          <w:rFonts w:asciiTheme="minorHAnsi" w:hAnsiTheme="minorHAnsi"/>
          <w:sz w:val="22"/>
          <w:szCs w:val="22"/>
          <w:lang w:val="en"/>
        </w:rPr>
        <w:lastRenderedPageBreak/>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0CEC4CB1" w14:textId="77777777" w:rsidR="00FF17E3" w:rsidRDefault="00FF17E3" w:rsidP="00FF17E3">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14:paraId="6046CEF5" w14:textId="77777777" w:rsidR="00FF17E3" w:rsidRDefault="00FF17E3" w:rsidP="00FF17E3">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Baudon of the Sustainable Development Department </w:t>
            </w:r>
          </w:p>
          <w:p w14:paraId="177E70BC" w14:textId="77777777" w:rsidR="00FF17E3" w:rsidRDefault="00FF17E3" w:rsidP="00FF17E3">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17" w:tooltip="mailto:etienne.baudon@expertisefrance.fr" w:history="1">
              <w:r>
                <w:rPr>
                  <w:rStyle w:val="Lienhypertexte"/>
                  <w:rFonts w:asciiTheme="minorHAnsi" w:hAnsiTheme="minorHAnsi" w:cs="Calibri"/>
                  <w:sz w:val="22"/>
                  <w:szCs w:val="22"/>
                </w:rPr>
                <w:t>etienne.baudon@expertisefrance.fr</w:t>
              </w:r>
            </w:hyperlink>
          </w:p>
          <w:p w14:paraId="68B7AD11" w14:textId="77777777" w:rsidR="00FF17E3" w:rsidRDefault="00FF17E3" w:rsidP="00FF17E3">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06B46D2D" w14:textId="69775E08" w:rsidR="00D07897" w:rsidRPr="000D43C1" w:rsidRDefault="00FF17E3" w:rsidP="00FF17E3">
            <w:pPr>
              <w:widowControl w:val="0"/>
              <w:numPr>
                <w:ilvl w:val="12"/>
                <w:numId w:val="0"/>
              </w:numPr>
              <w:spacing w:line="240" w:lineRule="auto"/>
              <w:jc w:val="both"/>
              <w:rPr>
                <w:rFonts w:asciiTheme="minorHAnsi" w:hAnsiTheme="minorHAnsi" w:cs="Arial"/>
                <w:sz w:val="22"/>
                <w:highlight w:val="yellow"/>
              </w:rPr>
            </w:pPr>
            <w:r>
              <w:rPr>
                <w:rFonts w:asciiTheme="minorHAnsi" w:hAnsiTheme="minorHAnsi" w:cs="Arial"/>
                <w:sz w:val="22"/>
                <w:lang w:val="en-GB"/>
              </w:rPr>
              <w:t>F-75005 PARIS</w:t>
            </w:r>
          </w:p>
        </w:tc>
      </w:tr>
      <w:tr w:rsidR="00D07897" w:rsidRPr="00D82702"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r>
        <w:rPr>
          <w:rFonts w:asciiTheme="minorHAnsi" w:hAnsiTheme="minorHAnsi"/>
          <w:sz w:val="22"/>
          <w:lang w:val="en"/>
        </w:rPr>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Coffee, chocolate ;</w:t>
      </w:r>
    </w:p>
    <w:p w14:paraId="39DE811C" w14:textId="77777777" w:rsidR="00326C01" w:rsidRDefault="00326C01" w:rsidP="001D47A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1D47A4">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141AE0A1" w:rsidR="009766DB" w:rsidRPr="00C44BB9" w:rsidRDefault="009766DB" w:rsidP="001D47A4">
      <w:pPr>
        <w:pStyle w:val="u"/>
        <w:widowControl w:val="0"/>
        <w:numPr>
          <w:ilvl w:val="0"/>
          <w:numId w:val="14"/>
        </w:numPr>
        <w:spacing w:before="120"/>
        <w:rPr>
          <w:rFonts w:asciiTheme="minorHAnsi" w:hAnsiTheme="minorHAnsi" w:cstheme="minorHAnsi"/>
          <w:szCs w:val="22"/>
          <w:lang w:val="en-GB"/>
        </w:rPr>
      </w:pPr>
      <w:r w:rsidRPr="00C44BB9">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C44BB9">
        <w:rPr>
          <w:rFonts w:asciiTheme="minorHAnsi" w:hAnsiTheme="minorHAnsi" w:cstheme="minorHAnsi"/>
          <w:smallCaps/>
          <w:szCs w:val="22"/>
          <w:lang w:val="en-GB"/>
        </w:rPr>
        <w:t>Expertise France</w:t>
      </w:r>
      <w:r w:rsidRPr="00C44BB9">
        <w:rPr>
          <w:rFonts w:asciiTheme="minorHAnsi" w:hAnsiTheme="minorHAnsi" w:cstheme="minorHAnsi"/>
          <w:szCs w:val="22"/>
          <w:lang w:val="en"/>
        </w:rPr>
        <w:t>;</w:t>
      </w:r>
    </w:p>
    <w:p w14:paraId="6EE97B49" w14:textId="14A124DA" w:rsidR="009766DB" w:rsidRPr="00C44BB9" w:rsidRDefault="009766DB" w:rsidP="001D47A4">
      <w:pPr>
        <w:pStyle w:val="u"/>
        <w:widowControl w:val="0"/>
        <w:numPr>
          <w:ilvl w:val="0"/>
          <w:numId w:val="14"/>
        </w:numPr>
        <w:spacing w:before="120"/>
        <w:rPr>
          <w:rFonts w:asciiTheme="minorHAnsi" w:hAnsiTheme="minorHAnsi" w:cstheme="minorHAnsi"/>
          <w:szCs w:val="22"/>
          <w:lang w:val="en-GB"/>
        </w:rPr>
      </w:pPr>
      <w:r w:rsidRPr="00C44BB9">
        <w:rPr>
          <w:rFonts w:asciiTheme="minorHAnsi" w:hAnsiTheme="minorHAnsi" w:cstheme="minorHAnsi"/>
          <w:szCs w:val="22"/>
          <w:lang w:val="en"/>
        </w:rPr>
        <w:t>Revision of technical elements (clarification of deliverables, producer technical definitions, equipment technical documen</w:t>
      </w:r>
      <w:r w:rsidR="00C44BB9" w:rsidRPr="00C44BB9">
        <w:rPr>
          <w:rFonts w:asciiTheme="minorHAnsi" w:hAnsiTheme="minorHAnsi" w:cstheme="minorHAnsi"/>
          <w:szCs w:val="22"/>
          <w:lang w:val="en"/>
        </w:rPr>
        <w:t>ts, updated instructions, etc.)</w:t>
      </w:r>
      <w:r w:rsidRPr="00C44BB9">
        <w:rPr>
          <w:rFonts w:asciiTheme="minorHAnsi" w:hAnsiTheme="minorHAnsi" w:cstheme="minorHAnsi"/>
          <w:szCs w:val="22"/>
          <w:lang w:val="en"/>
        </w:rPr>
        <w:t>.</w:t>
      </w:r>
    </w:p>
    <w:p w14:paraId="09D6FF71" w14:textId="17CECEEF" w:rsidR="00AC153C" w:rsidRDefault="009766DB" w:rsidP="00394B72">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8B3B53">
        <w:rPr>
          <w:rFonts w:asciiTheme="minorHAnsi" w:hAnsiTheme="minorHAnsi" w:cstheme="minorHAnsi"/>
          <w:szCs w:val="22"/>
          <w:lang w:val="en"/>
        </w:rPr>
        <w:t>.</w:t>
      </w:r>
    </w:p>
    <w:p w14:paraId="1E86081C" w14:textId="77777777" w:rsidR="00C64382" w:rsidRPr="000D43C1" w:rsidRDefault="00C64382"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lastRenderedPageBreak/>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1D47A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1D47A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1D47A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1D47A4">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1D47A4">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1D47A4">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1D47A4">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1D47A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lastRenderedPageBreak/>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2AD2379B"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E56F0D" w:rsidRPr="00E56F0D">
        <w:rPr>
          <w:rFonts w:asciiTheme="minorHAnsi" w:hAnsiTheme="minorHAnsi" w:cstheme="minorHAnsi"/>
          <w:b/>
          <w:sz w:val="22"/>
          <w:szCs w:val="22"/>
          <w:lang w:val="en"/>
        </w:rPr>
        <w:t>03</w:t>
      </w:r>
      <w:r w:rsidRPr="0026644D">
        <w:rPr>
          <w:rFonts w:asciiTheme="minorHAnsi" w:hAnsiTheme="minorHAnsi" w:cstheme="minorHAnsi"/>
          <w:sz w:val="22"/>
          <w:szCs w:val="22"/>
          <w:lang w:val="en"/>
        </w:rPr>
        <w:t xml:space="preserve"> </w:t>
      </w:r>
      <w:r w:rsidRPr="00E56F0D">
        <w:rPr>
          <w:rFonts w:asciiTheme="minorHAnsi" w:hAnsiTheme="minorHAnsi" w:cstheme="minorHAnsi"/>
          <w:b/>
          <w:sz w:val="22"/>
          <w:szCs w:val="22"/>
          <w:lang w:val="en"/>
        </w:rPr>
        <w:t>weeks</w:t>
      </w:r>
      <w:r w:rsidRPr="0026644D">
        <w:rPr>
          <w:rFonts w:asciiTheme="minorHAnsi" w:hAnsiTheme="minorHAnsi" w:cstheme="minorHAnsi"/>
          <w:sz w:val="22"/>
          <w:szCs w:val="22"/>
          <w:lang w:val="en"/>
        </w:rPr>
        <w:t xml:space="preserve">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lastRenderedPageBreak/>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7E4F82B7" w:rsidR="00DE7CF5" w:rsidRDefault="00093B0E" w:rsidP="00093B0E">
      <w:pPr>
        <w:widowControl w:val="0"/>
        <w:tabs>
          <w:tab w:val="left" w:pos="567"/>
        </w:tabs>
        <w:spacing w:before="120" w:line="240" w:lineRule="auto"/>
        <w:ind w:left="567"/>
        <w:jc w:val="both"/>
        <w:rPr>
          <w:rFonts w:asciiTheme="minorHAnsi" w:hAnsiTheme="minorHAnsi" w:cstheme="minorHAnsi"/>
          <w:smallCaps/>
          <w:sz w:val="22"/>
          <w:lang w:val="en"/>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4B5695C0" w14:textId="77777777" w:rsidR="00E56F0D" w:rsidRPr="0026644D" w:rsidRDefault="00E56F0D" w:rsidP="00093B0E">
      <w:pPr>
        <w:widowControl w:val="0"/>
        <w:tabs>
          <w:tab w:val="left" w:pos="567"/>
        </w:tabs>
        <w:spacing w:before="120" w:line="240" w:lineRule="auto"/>
        <w:ind w:left="567"/>
        <w:jc w:val="both"/>
        <w:rPr>
          <w:rFonts w:asciiTheme="minorHAnsi" w:eastAsia="Times New Roman" w:hAnsiTheme="minorHAnsi" w:cs="Arial"/>
          <w:sz w:val="22"/>
          <w:lang w:val="en-GB"/>
        </w:rPr>
      </w:pPr>
    </w:p>
    <w:p w14:paraId="7C2814C1" w14:textId="123F0B8E" w:rsidR="007476F1" w:rsidRPr="0080375E" w:rsidRDefault="007476F1"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1D47A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1D47A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1D47A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1D47A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 xml:space="preserve">Expertise </w:t>
      </w:r>
      <w:r w:rsidR="00572A21" w:rsidRPr="00572A21">
        <w:rPr>
          <w:rFonts w:asciiTheme="minorHAnsi" w:hAnsiTheme="minorHAnsi" w:cs="Arial"/>
          <w:smallCaps/>
          <w:szCs w:val="22"/>
          <w:lang w:val="en-GB"/>
        </w:rPr>
        <w:lastRenderedPageBreak/>
        <w:t>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3F73BF3E"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p>
    <w:p w14:paraId="6498F49D" w14:textId="77777777" w:rsidR="002A19B9" w:rsidRPr="00025DBE" w:rsidRDefault="002A19B9"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40836359"/>
      <w:bookmarkEnd w:id="126"/>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D47A4">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D47A4">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1D47A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1D47A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1D47A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lastRenderedPageBreak/>
        <w:t>Demonstrate transparency and respond to auditors’ requests;</w:t>
      </w:r>
    </w:p>
    <w:p w14:paraId="4FA35365" w14:textId="77777777" w:rsidR="000333A3" w:rsidRPr="000333A3" w:rsidRDefault="000333A3" w:rsidP="001D47A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1D47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1D47A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1D47A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1D47A4">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1D47A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1D47A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1D47A4">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1D47A4">
      <w:pPr>
        <w:pStyle w:val="En-tte"/>
        <w:numPr>
          <w:ilvl w:val="0"/>
          <w:numId w:val="18"/>
        </w:numPr>
        <w:ind w:left="851" w:hanging="284"/>
        <w:jc w:val="both"/>
        <w:rPr>
          <w:rFonts w:ascii="Calibri" w:hAnsi="Calibri"/>
          <w:sz w:val="22"/>
          <w:lang w:val="en-GB"/>
        </w:rPr>
      </w:pPr>
      <w:r>
        <w:rPr>
          <w:rFonts w:ascii="Calibri" w:hAnsi="Calibri"/>
          <w:sz w:val="22"/>
          <w:lang w:val="en-GB"/>
        </w:rPr>
        <w:lastRenderedPageBreak/>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1D47A4">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1D47A4">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1D47A4">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1D47A4">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1D47A4">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A26ADA"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6" w:name="_Toc140836365"/>
      <w:r>
        <w:rPr>
          <w:rFonts w:asciiTheme="minorHAnsi" w:hAnsiTheme="minorHAnsi"/>
          <w:b/>
          <w:bCs/>
          <w:caps/>
          <w:sz w:val="24"/>
          <w:lang w:val="en"/>
        </w:rPr>
        <w:t>Annex 1: Specifications</w:t>
      </w:r>
      <w:bookmarkEnd w:id="136"/>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42DFF" w14:textId="77777777" w:rsidR="00A26ADA" w:rsidRDefault="00A26ADA">
      <w:r>
        <w:separator/>
      </w:r>
    </w:p>
  </w:endnote>
  <w:endnote w:type="continuationSeparator" w:id="0">
    <w:p w14:paraId="35DEA463" w14:textId="77777777" w:rsidR="00A26ADA" w:rsidRDefault="00A2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C46434" w:rsidRPr="00EE0FDD" w:rsidRDefault="00C4643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8AF2D4B" w:rsidR="00C46434" w:rsidRPr="00263FD0" w:rsidRDefault="00C4643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45B64">
              <w:rPr>
                <w:rFonts w:asciiTheme="minorHAnsi" w:hAnsiTheme="minorHAnsi"/>
                <w:noProof/>
                <w:sz w:val="22"/>
                <w:szCs w:val="22"/>
                <w:lang w:val="en"/>
              </w:rPr>
              <w:t>16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45B64">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C46434" w:rsidRPr="00FF1F8E" w:rsidRDefault="00A26ADA"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C46434" w:rsidRPr="00EE0FDD" w:rsidRDefault="00C4643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17ABFA15" w:rsidR="00C46434" w:rsidRPr="00263FD0" w:rsidRDefault="00C4643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45B64">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45B64">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C46434" w:rsidRPr="0036169C" w:rsidRDefault="00C4643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C46434" w:rsidRDefault="00C4643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C46434" w:rsidRPr="0036169C" w:rsidRDefault="00C4643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C46434" w:rsidRDefault="00C46434">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3D4D6" w14:textId="77777777" w:rsidR="00A26ADA" w:rsidRDefault="00A26ADA">
      <w:r>
        <w:separator/>
      </w:r>
    </w:p>
  </w:footnote>
  <w:footnote w:type="continuationSeparator" w:id="0">
    <w:p w14:paraId="1E85616A" w14:textId="77777777" w:rsidR="00A26ADA" w:rsidRDefault="00A26ADA">
      <w:r>
        <w:continuationSeparator/>
      </w:r>
    </w:p>
  </w:footnote>
  <w:footnote w:id="1">
    <w:p w14:paraId="3C4F3CA5" w14:textId="77777777" w:rsidR="00C46434" w:rsidRPr="0050283E" w:rsidRDefault="00C4643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C46434" w:rsidRDefault="00C4643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C46434" w:rsidRDefault="00C4643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C46434" w:rsidRDefault="00C46434"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C46434" w:rsidRDefault="00C46434">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C46434" w:rsidRDefault="00C46434"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C46434" w:rsidRDefault="00C4643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C46434" w:rsidRPr="00707B69" w:rsidRDefault="00C4643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C46434" w:rsidRPr="00AC48DD" w:rsidRDefault="00C4643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C46434" w:rsidRPr="00F13E6E" w:rsidRDefault="00C4643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C46434" w:rsidRPr="00AC48DD" w:rsidRDefault="00C4643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C46434" w:rsidRPr="00707B69" w:rsidRDefault="00C4643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C46434" w:rsidRPr="00AC48DD" w:rsidRDefault="00C4643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C46434" w:rsidRDefault="00C4643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C46434" w:rsidRPr="00AC48DD" w:rsidRDefault="00C4643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C46434" w:rsidRPr="00707B69" w:rsidRDefault="00C4643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C46434" w:rsidRPr="00AC48DD" w:rsidRDefault="00C4643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C46434" w:rsidRDefault="00C4643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C46434" w:rsidRPr="00996FEA" w:rsidRDefault="00C46434"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0A1671A"/>
    <w:multiLevelType w:val="hybridMultilevel"/>
    <w:tmpl w:val="6EF88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A2649"/>
    <w:multiLevelType w:val="multilevel"/>
    <w:tmpl w:val="D0AE339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hint="default"/>
      </w:rPr>
    </w:lvl>
    <w:lvl w:ilvl="8">
      <w:start w:val="1"/>
      <w:numFmt w:val="bullet"/>
      <w:lvlText w:val=""/>
      <w:lvlJc w:val="left"/>
      <w:pPr>
        <w:ind w:left="7188"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533C58"/>
    <w:multiLevelType w:val="hybridMultilevel"/>
    <w:tmpl w:val="E71252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4"/>
  </w:num>
  <w:num w:numId="6">
    <w:abstractNumId w:val="5"/>
  </w:num>
  <w:num w:numId="7">
    <w:abstractNumId w:val="10"/>
  </w:num>
  <w:num w:numId="8">
    <w:abstractNumId w:val="12"/>
  </w:num>
  <w:num w:numId="9">
    <w:abstractNumId w:val="21"/>
  </w:num>
  <w:num w:numId="10">
    <w:abstractNumId w:val="15"/>
  </w:num>
  <w:num w:numId="11">
    <w:abstractNumId w:val="4"/>
  </w:num>
  <w:num w:numId="12">
    <w:abstractNumId w:val="18"/>
  </w:num>
  <w:num w:numId="13">
    <w:abstractNumId w:val="16"/>
  </w:num>
  <w:num w:numId="14">
    <w:abstractNumId w:val="6"/>
  </w:num>
  <w:num w:numId="15">
    <w:abstractNumId w:val="13"/>
  </w:num>
  <w:num w:numId="16">
    <w:abstractNumId w:val="11"/>
  </w:num>
  <w:num w:numId="17">
    <w:abstractNumId w:val="23"/>
  </w:num>
  <w:num w:numId="18">
    <w:abstractNumId w:val="20"/>
  </w:num>
  <w:num w:numId="19">
    <w:abstractNumId w:val="7"/>
  </w:num>
  <w:num w:numId="20">
    <w:abstractNumId w:val="20"/>
  </w:num>
  <w:num w:numId="21">
    <w:abstractNumId w:val="9"/>
  </w:num>
  <w:num w:numId="22">
    <w:abstractNumId w:val="19"/>
  </w:num>
  <w:num w:numId="23">
    <w:abstractNumId w:val="8"/>
  </w:num>
  <w:num w:numId="24">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3AF7"/>
    <w:rsid w:val="00004AE6"/>
    <w:rsid w:val="0000635E"/>
    <w:rsid w:val="00020E02"/>
    <w:rsid w:val="000243D6"/>
    <w:rsid w:val="00024709"/>
    <w:rsid w:val="00025DBE"/>
    <w:rsid w:val="00031F69"/>
    <w:rsid w:val="000333A3"/>
    <w:rsid w:val="0003445A"/>
    <w:rsid w:val="00037915"/>
    <w:rsid w:val="00041D79"/>
    <w:rsid w:val="00043222"/>
    <w:rsid w:val="00044AC3"/>
    <w:rsid w:val="000455A6"/>
    <w:rsid w:val="000461BD"/>
    <w:rsid w:val="00051787"/>
    <w:rsid w:val="00052394"/>
    <w:rsid w:val="00052C85"/>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0C57"/>
    <w:rsid w:val="000C4A41"/>
    <w:rsid w:val="000C5E22"/>
    <w:rsid w:val="000C7D83"/>
    <w:rsid w:val="000D19AC"/>
    <w:rsid w:val="000D1A0F"/>
    <w:rsid w:val="000D3533"/>
    <w:rsid w:val="000D43C1"/>
    <w:rsid w:val="000D4E94"/>
    <w:rsid w:val="000E56D6"/>
    <w:rsid w:val="000F17F1"/>
    <w:rsid w:val="000F38C0"/>
    <w:rsid w:val="000F3902"/>
    <w:rsid w:val="000F3D1E"/>
    <w:rsid w:val="000F3E05"/>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4B73"/>
    <w:rsid w:val="00136398"/>
    <w:rsid w:val="00142083"/>
    <w:rsid w:val="00142461"/>
    <w:rsid w:val="00142557"/>
    <w:rsid w:val="00143F6C"/>
    <w:rsid w:val="00145B7D"/>
    <w:rsid w:val="00146592"/>
    <w:rsid w:val="001479FE"/>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1B38"/>
    <w:rsid w:val="00183314"/>
    <w:rsid w:val="0018358B"/>
    <w:rsid w:val="001862D1"/>
    <w:rsid w:val="001865CB"/>
    <w:rsid w:val="00187455"/>
    <w:rsid w:val="0018750E"/>
    <w:rsid w:val="00192EDE"/>
    <w:rsid w:val="00197CF8"/>
    <w:rsid w:val="001B140A"/>
    <w:rsid w:val="001B5605"/>
    <w:rsid w:val="001B6DF5"/>
    <w:rsid w:val="001C7353"/>
    <w:rsid w:val="001D458E"/>
    <w:rsid w:val="001D47A4"/>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53E"/>
    <w:rsid w:val="00217B4E"/>
    <w:rsid w:val="00224471"/>
    <w:rsid w:val="002251EE"/>
    <w:rsid w:val="00226839"/>
    <w:rsid w:val="0022782C"/>
    <w:rsid w:val="00232941"/>
    <w:rsid w:val="00233C79"/>
    <w:rsid w:val="00234430"/>
    <w:rsid w:val="0023447B"/>
    <w:rsid w:val="002352A4"/>
    <w:rsid w:val="00242B40"/>
    <w:rsid w:val="00244620"/>
    <w:rsid w:val="0024574F"/>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036A"/>
    <w:rsid w:val="002A19B9"/>
    <w:rsid w:val="002A3730"/>
    <w:rsid w:val="002A5986"/>
    <w:rsid w:val="002B1D4A"/>
    <w:rsid w:val="002B2974"/>
    <w:rsid w:val="002B4A5D"/>
    <w:rsid w:val="002C078E"/>
    <w:rsid w:val="002C42C8"/>
    <w:rsid w:val="002C46DE"/>
    <w:rsid w:val="002D1671"/>
    <w:rsid w:val="002D275B"/>
    <w:rsid w:val="002D5436"/>
    <w:rsid w:val="002D597F"/>
    <w:rsid w:val="002D5EDB"/>
    <w:rsid w:val="002E3CF6"/>
    <w:rsid w:val="002F0361"/>
    <w:rsid w:val="002F072C"/>
    <w:rsid w:val="002F2D1F"/>
    <w:rsid w:val="002F33B3"/>
    <w:rsid w:val="002F342B"/>
    <w:rsid w:val="002F7719"/>
    <w:rsid w:val="003009BE"/>
    <w:rsid w:val="003027A4"/>
    <w:rsid w:val="003061E8"/>
    <w:rsid w:val="00306A21"/>
    <w:rsid w:val="00307CED"/>
    <w:rsid w:val="003115EA"/>
    <w:rsid w:val="00311A70"/>
    <w:rsid w:val="00312220"/>
    <w:rsid w:val="00313295"/>
    <w:rsid w:val="003143A8"/>
    <w:rsid w:val="00314455"/>
    <w:rsid w:val="003231C9"/>
    <w:rsid w:val="00323A64"/>
    <w:rsid w:val="003245D7"/>
    <w:rsid w:val="00326C01"/>
    <w:rsid w:val="003272A7"/>
    <w:rsid w:val="00327EF4"/>
    <w:rsid w:val="00330230"/>
    <w:rsid w:val="003318E8"/>
    <w:rsid w:val="0033197D"/>
    <w:rsid w:val="00337927"/>
    <w:rsid w:val="0034115E"/>
    <w:rsid w:val="00341850"/>
    <w:rsid w:val="00345172"/>
    <w:rsid w:val="00345A64"/>
    <w:rsid w:val="00345AEE"/>
    <w:rsid w:val="00347846"/>
    <w:rsid w:val="00347D93"/>
    <w:rsid w:val="003532E1"/>
    <w:rsid w:val="00355606"/>
    <w:rsid w:val="00357B46"/>
    <w:rsid w:val="00363261"/>
    <w:rsid w:val="00363496"/>
    <w:rsid w:val="00366937"/>
    <w:rsid w:val="00370EDB"/>
    <w:rsid w:val="00372A42"/>
    <w:rsid w:val="00375751"/>
    <w:rsid w:val="003805AF"/>
    <w:rsid w:val="00384921"/>
    <w:rsid w:val="00387E4C"/>
    <w:rsid w:val="00390537"/>
    <w:rsid w:val="00390629"/>
    <w:rsid w:val="00390DD2"/>
    <w:rsid w:val="00391664"/>
    <w:rsid w:val="003927B5"/>
    <w:rsid w:val="00393970"/>
    <w:rsid w:val="00394B72"/>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6C88"/>
    <w:rsid w:val="003D73A9"/>
    <w:rsid w:val="003D7CE1"/>
    <w:rsid w:val="003E0766"/>
    <w:rsid w:val="003E0CA3"/>
    <w:rsid w:val="003E7602"/>
    <w:rsid w:val="003F06DE"/>
    <w:rsid w:val="003F36C1"/>
    <w:rsid w:val="004073C5"/>
    <w:rsid w:val="0040763A"/>
    <w:rsid w:val="0041061D"/>
    <w:rsid w:val="00410B68"/>
    <w:rsid w:val="00413542"/>
    <w:rsid w:val="0041382E"/>
    <w:rsid w:val="004148AA"/>
    <w:rsid w:val="00416A7A"/>
    <w:rsid w:val="00422F59"/>
    <w:rsid w:val="0042438D"/>
    <w:rsid w:val="004315ED"/>
    <w:rsid w:val="0043352D"/>
    <w:rsid w:val="00436E95"/>
    <w:rsid w:val="0044275E"/>
    <w:rsid w:val="0044315B"/>
    <w:rsid w:val="004441AD"/>
    <w:rsid w:val="00444C46"/>
    <w:rsid w:val="004537EA"/>
    <w:rsid w:val="00456853"/>
    <w:rsid w:val="0045693E"/>
    <w:rsid w:val="00456DBD"/>
    <w:rsid w:val="00463374"/>
    <w:rsid w:val="0046446F"/>
    <w:rsid w:val="00464549"/>
    <w:rsid w:val="00466A20"/>
    <w:rsid w:val="004709C6"/>
    <w:rsid w:val="0048479B"/>
    <w:rsid w:val="00490566"/>
    <w:rsid w:val="00493E90"/>
    <w:rsid w:val="00495C01"/>
    <w:rsid w:val="004A099E"/>
    <w:rsid w:val="004B2F76"/>
    <w:rsid w:val="004B47E5"/>
    <w:rsid w:val="004B5B87"/>
    <w:rsid w:val="004B5E2B"/>
    <w:rsid w:val="004B6BDA"/>
    <w:rsid w:val="004B7B2A"/>
    <w:rsid w:val="004C0388"/>
    <w:rsid w:val="004C05F2"/>
    <w:rsid w:val="004C0E8A"/>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5A57"/>
    <w:rsid w:val="0051235B"/>
    <w:rsid w:val="005131DE"/>
    <w:rsid w:val="005147AD"/>
    <w:rsid w:val="00516373"/>
    <w:rsid w:val="005176BC"/>
    <w:rsid w:val="005204FC"/>
    <w:rsid w:val="00521453"/>
    <w:rsid w:val="00521CF4"/>
    <w:rsid w:val="0052206A"/>
    <w:rsid w:val="0052225C"/>
    <w:rsid w:val="00522645"/>
    <w:rsid w:val="0052404A"/>
    <w:rsid w:val="00540DA7"/>
    <w:rsid w:val="00541A69"/>
    <w:rsid w:val="005436FE"/>
    <w:rsid w:val="00545B64"/>
    <w:rsid w:val="00546172"/>
    <w:rsid w:val="00546580"/>
    <w:rsid w:val="0054775A"/>
    <w:rsid w:val="00554974"/>
    <w:rsid w:val="00554D33"/>
    <w:rsid w:val="005554F6"/>
    <w:rsid w:val="00555885"/>
    <w:rsid w:val="005563C9"/>
    <w:rsid w:val="005575AD"/>
    <w:rsid w:val="0056032E"/>
    <w:rsid w:val="005603A8"/>
    <w:rsid w:val="0056324B"/>
    <w:rsid w:val="005649E2"/>
    <w:rsid w:val="005652F0"/>
    <w:rsid w:val="00567093"/>
    <w:rsid w:val="005708DB"/>
    <w:rsid w:val="00571C66"/>
    <w:rsid w:val="0057211A"/>
    <w:rsid w:val="00572A21"/>
    <w:rsid w:val="00575306"/>
    <w:rsid w:val="00577E61"/>
    <w:rsid w:val="00580C7F"/>
    <w:rsid w:val="00582257"/>
    <w:rsid w:val="00583154"/>
    <w:rsid w:val="00584F07"/>
    <w:rsid w:val="005851B5"/>
    <w:rsid w:val="005862C9"/>
    <w:rsid w:val="00590C4B"/>
    <w:rsid w:val="0059238F"/>
    <w:rsid w:val="005942E9"/>
    <w:rsid w:val="005A4C6A"/>
    <w:rsid w:val="005A5C63"/>
    <w:rsid w:val="005B106C"/>
    <w:rsid w:val="005B64FD"/>
    <w:rsid w:val="005B74D9"/>
    <w:rsid w:val="005B758B"/>
    <w:rsid w:val="005C1231"/>
    <w:rsid w:val="005C20C4"/>
    <w:rsid w:val="005C220F"/>
    <w:rsid w:val="005C24E2"/>
    <w:rsid w:val="005C2FC9"/>
    <w:rsid w:val="005C3E0B"/>
    <w:rsid w:val="005C6FB9"/>
    <w:rsid w:val="005D1EE3"/>
    <w:rsid w:val="005D2A80"/>
    <w:rsid w:val="005D7631"/>
    <w:rsid w:val="005E1520"/>
    <w:rsid w:val="005E4E1E"/>
    <w:rsid w:val="005E5F3A"/>
    <w:rsid w:val="005F0451"/>
    <w:rsid w:val="005F1565"/>
    <w:rsid w:val="005F5840"/>
    <w:rsid w:val="005F5DCE"/>
    <w:rsid w:val="005F639C"/>
    <w:rsid w:val="006016FC"/>
    <w:rsid w:val="0060270B"/>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1984"/>
    <w:rsid w:val="006402AE"/>
    <w:rsid w:val="00641B9F"/>
    <w:rsid w:val="006424A1"/>
    <w:rsid w:val="00643326"/>
    <w:rsid w:val="00643E40"/>
    <w:rsid w:val="00644EB5"/>
    <w:rsid w:val="00647367"/>
    <w:rsid w:val="00650AC2"/>
    <w:rsid w:val="0065109D"/>
    <w:rsid w:val="00651254"/>
    <w:rsid w:val="006536FA"/>
    <w:rsid w:val="00655B0D"/>
    <w:rsid w:val="00656639"/>
    <w:rsid w:val="00661C08"/>
    <w:rsid w:val="00663098"/>
    <w:rsid w:val="006631E1"/>
    <w:rsid w:val="00663C0B"/>
    <w:rsid w:val="00667E7D"/>
    <w:rsid w:val="0067112C"/>
    <w:rsid w:val="006730A3"/>
    <w:rsid w:val="00675BF2"/>
    <w:rsid w:val="0068279C"/>
    <w:rsid w:val="006836B1"/>
    <w:rsid w:val="00684E75"/>
    <w:rsid w:val="00686A8E"/>
    <w:rsid w:val="00691170"/>
    <w:rsid w:val="00694A01"/>
    <w:rsid w:val="00697226"/>
    <w:rsid w:val="006A6224"/>
    <w:rsid w:val="006A778E"/>
    <w:rsid w:val="006A7F07"/>
    <w:rsid w:val="006B60B4"/>
    <w:rsid w:val="006B620A"/>
    <w:rsid w:val="006C182E"/>
    <w:rsid w:val="006D0BFE"/>
    <w:rsid w:val="006D26AA"/>
    <w:rsid w:val="006D3BE8"/>
    <w:rsid w:val="006D71D5"/>
    <w:rsid w:val="006E0586"/>
    <w:rsid w:val="006E2006"/>
    <w:rsid w:val="006E2037"/>
    <w:rsid w:val="006E2A49"/>
    <w:rsid w:val="006E396A"/>
    <w:rsid w:val="006E57FD"/>
    <w:rsid w:val="006F295F"/>
    <w:rsid w:val="006F6849"/>
    <w:rsid w:val="00701BF6"/>
    <w:rsid w:val="007056F7"/>
    <w:rsid w:val="00705EEA"/>
    <w:rsid w:val="00707B69"/>
    <w:rsid w:val="00707D55"/>
    <w:rsid w:val="00710099"/>
    <w:rsid w:val="0071011C"/>
    <w:rsid w:val="00710801"/>
    <w:rsid w:val="0071182C"/>
    <w:rsid w:val="00712482"/>
    <w:rsid w:val="00713101"/>
    <w:rsid w:val="007147AE"/>
    <w:rsid w:val="00714BF4"/>
    <w:rsid w:val="00715F99"/>
    <w:rsid w:val="00716415"/>
    <w:rsid w:val="00722AD6"/>
    <w:rsid w:val="00722EEA"/>
    <w:rsid w:val="00725624"/>
    <w:rsid w:val="00725B1A"/>
    <w:rsid w:val="0073128E"/>
    <w:rsid w:val="00737DB4"/>
    <w:rsid w:val="007407AA"/>
    <w:rsid w:val="0074139F"/>
    <w:rsid w:val="00741613"/>
    <w:rsid w:val="007418B3"/>
    <w:rsid w:val="00741D2D"/>
    <w:rsid w:val="00742104"/>
    <w:rsid w:val="007452D4"/>
    <w:rsid w:val="007476F1"/>
    <w:rsid w:val="00747CC5"/>
    <w:rsid w:val="00750307"/>
    <w:rsid w:val="00752055"/>
    <w:rsid w:val="00755E9A"/>
    <w:rsid w:val="007563BB"/>
    <w:rsid w:val="0076291C"/>
    <w:rsid w:val="007654E9"/>
    <w:rsid w:val="007716CB"/>
    <w:rsid w:val="00775808"/>
    <w:rsid w:val="00781982"/>
    <w:rsid w:val="00782242"/>
    <w:rsid w:val="007925B5"/>
    <w:rsid w:val="00794721"/>
    <w:rsid w:val="00796758"/>
    <w:rsid w:val="007979DB"/>
    <w:rsid w:val="007B0A13"/>
    <w:rsid w:val="007B112F"/>
    <w:rsid w:val="007B2216"/>
    <w:rsid w:val="007B42B1"/>
    <w:rsid w:val="007B473C"/>
    <w:rsid w:val="007B538C"/>
    <w:rsid w:val="007C0492"/>
    <w:rsid w:val="007C42D8"/>
    <w:rsid w:val="007C47E8"/>
    <w:rsid w:val="007C612D"/>
    <w:rsid w:val="007C7BDF"/>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4AB2"/>
    <w:rsid w:val="00836485"/>
    <w:rsid w:val="00836946"/>
    <w:rsid w:val="00837BC3"/>
    <w:rsid w:val="00841BE4"/>
    <w:rsid w:val="008474F9"/>
    <w:rsid w:val="0084761E"/>
    <w:rsid w:val="00851F4D"/>
    <w:rsid w:val="00853057"/>
    <w:rsid w:val="00853098"/>
    <w:rsid w:val="00861444"/>
    <w:rsid w:val="00862433"/>
    <w:rsid w:val="0086263E"/>
    <w:rsid w:val="00863B49"/>
    <w:rsid w:val="008646EF"/>
    <w:rsid w:val="008648C6"/>
    <w:rsid w:val="00865385"/>
    <w:rsid w:val="008714BB"/>
    <w:rsid w:val="008714FA"/>
    <w:rsid w:val="00872AE2"/>
    <w:rsid w:val="00874185"/>
    <w:rsid w:val="008743D9"/>
    <w:rsid w:val="00883C5C"/>
    <w:rsid w:val="00884FDC"/>
    <w:rsid w:val="00887E13"/>
    <w:rsid w:val="008908DF"/>
    <w:rsid w:val="00891619"/>
    <w:rsid w:val="00893886"/>
    <w:rsid w:val="00895DB4"/>
    <w:rsid w:val="0089602D"/>
    <w:rsid w:val="00896971"/>
    <w:rsid w:val="00897529"/>
    <w:rsid w:val="008A0752"/>
    <w:rsid w:val="008A1CD7"/>
    <w:rsid w:val="008A2A15"/>
    <w:rsid w:val="008A32BB"/>
    <w:rsid w:val="008A4BA2"/>
    <w:rsid w:val="008A57D1"/>
    <w:rsid w:val="008A72EF"/>
    <w:rsid w:val="008A7C7E"/>
    <w:rsid w:val="008B3B53"/>
    <w:rsid w:val="008B44EB"/>
    <w:rsid w:val="008B6161"/>
    <w:rsid w:val="008B6F06"/>
    <w:rsid w:val="008C01FE"/>
    <w:rsid w:val="008C6F83"/>
    <w:rsid w:val="008C7451"/>
    <w:rsid w:val="008D0EE4"/>
    <w:rsid w:val="008D127E"/>
    <w:rsid w:val="008D2C3F"/>
    <w:rsid w:val="008D5A09"/>
    <w:rsid w:val="008E082D"/>
    <w:rsid w:val="008E5D33"/>
    <w:rsid w:val="008E6CCE"/>
    <w:rsid w:val="008E7987"/>
    <w:rsid w:val="008E7A24"/>
    <w:rsid w:val="009011FA"/>
    <w:rsid w:val="00902863"/>
    <w:rsid w:val="009029F5"/>
    <w:rsid w:val="009048EE"/>
    <w:rsid w:val="00905A23"/>
    <w:rsid w:val="009069EF"/>
    <w:rsid w:val="00907A3F"/>
    <w:rsid w:val="0091111F"/>
    <w:rsid w:val="00912390"/>
    <w:rsid w:val="009125F0"/>
    <w:rsid w:val="00920016"/>
    <w:rsid w:val="009243C9"/>
    <w:rsid w:val="00931652"/>
    <w:rsid w:val="00936414"/>
    <w:rsid w:val="00940289"/>
    <w:rsid w:val="00941368"/>
    <w:rsid w:val="009416AD"/>
    <w:rsid w:val="009433E7"/>
    <w:rsid w:val="00944881"/>
    <w:rsid w:val="00944B03"/>
    <w:rsid w:val="00947488"/>
    <w:rsid w:val="00947C28"/>
    <w:rsid w:val="0095137D"/>
    <w:rsid w:val="00964820"/>
    <w:rsid w:val="0097249F"/>
    <w:rsid w:val="00973B1D"/>
    <w:rsid w:val="00974028"/>
    <w:rsid w:val="009766DB"/>
    <w:rsid w:val="00981223"/>
    <w:rsid w:val="00984461"/>
    <w:rsid w:val="009879A2"/>
    <w:rsid w:val="00987D70"/>
    <w:rsid w:val="00990C19"/>
    <w:rsid w:val="00995F2B"/>
    <w:rsid w:val="00996094"/>
    <w:rsid w:val="00996FEA"/>
    <w:rsid w:val="009A4D19"/>
    <w:rsid w:val="009A549E"/>
    <w:rsid w:val="009B5103"/>
    <w:rsid w:val="009B584E"/>
    <w:rsid w:val="009B5F91"/>
    <w:rsid w:val="009C0B55"/>
    <w:rsid w:val="009C3F63"/>
    <w:rsid w:val="009C621B"/>
    <w:rsid w:val="009C72C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6ADA"/>
    <w:rsid w:val="00A27720"/>
    <w:rsid w:val="00A3353A"/>
    <w:rsid w:val="00A34452"/>
    <w:rsid w:val="00A344EC"/>
    <w:rsid w:val="00A34CFA"/>
    <w:rsid w:val="00A36A64"/>
    <w:rsid w:val="00A41F8A"/>
    <w:rsid w:val="00A42B73"/>
    <w:rsid w:val="00A45FE4"/>
    <w:rsid w:val="00A50B8E"/>
    <w:rsid w:val="00A53B86"/>
    <w:rsid w:val="00A57D85"/>
    <w:rsid w:val="00A60C27"/>
    <w:rsid w:val="00A61E40"/>
    <w:rsid w:val="00A6242A"/>
    <w:rsid w:val="00A65758"/>
    <w:rsid w:val="00A66E36"/>
    <w:rsid w:val="00A67C9E"/>
    <w:rsid w:val="00A70C1C"/>
    <w:rsid w:val="00A72C36"/>
    <w:rsid w:val="00A81DEB"/>
    <w:rsid w:val="00A83401"/>
    <w:rsid w:val="00A8549B"/>
    <w:rsid w:val="00A8561A"/>
    <w:rsid w:val="00A9191F"/>
    <w:rsid w:val="00A92253"/>
    <w:rsid w:val="00A93B30"/>
    <w:rsid w:val="00A963B0"/>
    <w:rsid w:val="00AA590D"/>
    <w:rsid w:val="00AB12D7"/>
    <w:rsid w:val="00AB2D86"/>
    <w:rsid w:val="00AB4977"/>
    <w:rsid w:val="00AB6C95"/>
    <w:rsid w:val="00AB7D18"/>
    <w:rsid w:val="00AC0778"/>
    <w:rsid w:val="00AC0C7C"/>
    <w:rsid w:val="00AC153C"/>
    <w:rsid w:val="00AC2320"/>
    <w:rsid w:val="00AC30F7"/>
    <w:rsid w:val="00AC471E"/>
    <w:rsid w:val="00AC48DD"/>
    <w:rsid w:val="00AC5E08"/>
    <w:rsid w:val="00AC711D"/>
    <w:rsid w:val="00AC73A7"/>
    <w:rsid w:val="00AD0F2E"/>
    <w:rsid w:val="00AD2AA5"/>
    <w:rsid w:val="00AD59F2"/>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C2"/>
    <w:rsid w:val="00B336D7"/>
    <w:rsid w:val="00B33DB8"/>
    <w:rsid w:val="00B340A9"/>
    <w:rsid w:val="00B34F0C"/>
    <w:rsid w:val="00B35BCC"/>
    <w:rsid w:val="00B35D41"/>
    <w:rsid w:val="00B36ADB"/>
    <w:rsid w:val="00B374AA"/>
    <w:rsid w:val="00B4244A"/>
    <w:rsid w:val="00B42FD0"/>
    <w:rsid w:val="00B448C9"/>
    <w:rsid w:val="00B55D7E"/>
    <w:rsid w:val="00B56954"/>
    <w:rsid w:val="00B56D55"/>
    <w:rsid w:val="00B67B81"/>
    <w:rsid w:val="00B703D2"/>
    <w:rsid w:val="00B71839"/>
    <w:rsid w:val="00B723A0"/>
    <w:rsid w:val="00B747C5"/>
    <w:rsid w:val="00B75D63"/>
    <w:rsid w:val="00B80E3B"/>
    <w:rsid w:val="00B81AF2"/>
    <w:rsid w:val="00B84404"/>
    <w:rsid w:val="00B84B64"/>
    <w:rsid w:val="00B84BF7"/>
    <w:rsid w:val="00B860A9"/>
    <w:rsid w:val="00B9134E"/>
    <w:rsid w:val="00B915E5"/>
    <w:rsid w:val="00B91D12"/>
    <w:rsid w:val="00B92C04"/>
    <w:rsid w:val="00B94A6D"/>
    <w:rsid w:val="00B95BD7"/>
    <w:rsid w:val="00BA76D5"/>
    <w:rsid w:val="00BB05A5"/>
    <w:rsid w:val="00BB1B18"/>
    <w:rsid w:val="00BB519D"/>
    <w:rsid w:val="00BB55D6"/>
    <w:rsid w:val="00BB7E72"/>
    <w:rsid w:val="00BC2A22"/>
    <w:rsid w:val="00BC4CC2"/>
    <w:rsid w:val="00BC5A69"/>
    <w:rsid w:val="00BC5E18"/>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44BB9"/>
    <w:rsid w:val="00C46434"/>
    <w:rsid w:val="00C54C14"/>
    <w:rsid w:val="00C57FCC"/>
    <w:rsid w:val="00C64382"/>
    <w:rsid w:val="00C650D5"/>
    <w:rsid w:val="00C6664E"/>
    <w:rsid w:val="00C6688F"/>
    <w:rsid w:val="00C66F56"/>
    <w:rsid w:val="00C71F4D"/>
    <w:rsid w:val="00C72690"/>
    <w:rsid w:val="00C736C4"/>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3F86"/>
    <w:rsid w:val="00CD6CD2"/>
    <w:rsid w:val="00CE4511"/>
    <w:rsid w:val="00CE4EA4"/>
    <w:rsid w:val="00CF023E"/>
    <w:rsid w:val="00CF1B4C"/>
    <w:rsid w:val="00CF297A"/>
    <w:rsid w:val="00CF3A4B"/>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6FC3"/>
    <w:rsid w:val="00D27F14"/>
    <w:rsid w:val="00D307D0"/>
    <w:rsid w:val="00D31A4D"/>
    <w:rsid w:val="00D3292F"/>
    <w:rsid w:val="00D32C55"/>
    <w:rsid w:val="00D51BB9"/>
    <w:rsid w:val="00D569AF"/>
    <w:rsid w:val="00D57337"/>
    <w:rsid w:val="00D639EA"/>
    <w:rsid w:val="00D67295"/>
    <w:rsid w:val="00D70930"/>
    <w:rsid w:val="00D742B7"/>
    <w:rsid w:val="00D80144"/>
    <w:rsid w:val="00D81264"/>
    <w:rsid w:val="00D82702"/>
    <w:rsid w:val="00D82F0A"/>
    <w:rsid w:val="00D830F2"/>
    <w:rsid w:val="00D853CB"/>
    <w:rsid w:val="00D85889"/>
    <w:rsid w:val="00D85D50"/>
    <w:rsid w:val="00D8651A"/>
    <w:rsid w:val="00D87DF8"/>
    <w:rsid w:val="00D930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DE3"/>
    <w:rsid w:val="00DE0E61"/>
    <w:rsid w:val="00DE1070"/>
    <w:rsid w:val="00DE12CE"/>
    <w:rsid w:val="00DE2129"/>
    <w:rsid w:val="00DE2ED1"/>
    <w:rsid w:val="00DE304A"/>
    <w:rsid w:val="00DE492A"/>
    <w:rsid w:val="00DE7754"/>
    <w:rsid w:val="00DE7CF5"/>
    <w:rsid w:val="00DF2476"/>
    <w:rsid w:val="00DF2C4A"/>
    <w:rsid w:val="00DF30E6"/>
    <w:rsid w:val="00DF5FC1"/>
    <w:rsid w:val="00DF5FF7"/>
    <w:rsid w:val="00DF69E9"/>
    <w:rsid w:val="00E010BD"/>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ADC"/>
    <w:rsid w:val="00E33FDA"/>
    <w:rsid w:val="00E34F93"/>
    <w:rsid w:val="00E36430"/>
    <w:rsid w:val="00E4145C"/>
    <w:rsid w:val="00E4538E"/>
    <w:rsid w:val="00E45BA8"/>
    <w:rsid w:val="00E52166"/>
    <w:rsid w:val="00E529BB"/>
    <w:rsid w:val="00E541BC"/>
    <w:rsid w:val="00E551F2"/>
    <w:rsid w:val="00E55E56"/>
    <w:rsid w:val="00E56ECB"/>
    <w:rsid w:val="00E56F0D"/>
    <w:rsid w:val="00E57F94"/>
    <w:rsid w:val="00E61AD0"/>
    <w:rsid w:val="00E6361C"/>
    <w:rsid w:val="00E637E0"/>
    <w:rsid w:val="00E64126"/>
    <w:rsid w:val="00E64828"/>
    <w:rsid w:val="00E6519B"/>
    <w:rsid w:val="00E67266"/>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4389"/>
    <w:rsid w:val="00ED5F00"/>
    <w:rsid w:val="00ED6301"/>
    <w:rsid w:val="00EE1C0C"/>
    <w:rsid w:val="00EF1BFA"/>
    <w:rsid w:val="00EF395A"/>
    <w:rsid w:val="00EF5332"/>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27928"/>
    <w:rsid w:val="00F33BC3"/>
    <w:rsid w:val="00F33C7B"/>
    <w:rsid w:val="00F34807"/>
    <w:rsid w:val="00F34DF0"/>
    <w:rsid w:val="00F356DB"/>
    <w:rsid w:val="00F37D3F"/>
    <w:rsid w:val="00F40A62"/>
    <w:rsid w:val="00F40E5F"/>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0920"/>
    <w:rsid w:val="00F812F5"/>
    <w:rsid w:val="00F826C8"/>
    <w:rsid w:val="00F838D4"/>
    <w:rsid w:val="00F87ABD"/>
    <w:rsid w:val="00F906E3"/>
    <w:rsid w:val="00F92D77"/>
    <w:rsid w:val="00F93632"/>
    <w:rsid w:val="00F93FD2"/>
    <w:rsid w:val="00F94043"/>
    <w:rsid w:val="00F952FE"/>
    <w:rsid w:val="00F97562"/>
    <w:rsid w:val="00FA2CCB"/>
    <w:rsid w:val="00FA457B"/>
    <w:rsid w:val="00FA47CD"/>
    <w:rsid w:val="00FA4897"/>
    <w:rsid w:val="00FA6986"/>
    <w:rsid w:val="00FA7FF5"/>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7E3"/>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tienne.baudon@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DA3E-16A3-4E26-ADA5-95EC0EDC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10</TotalTime>
  <Pages>22</Pages>
  <Words>6866</Words>
  <Characters>37769</Characters>
  <Application>Microsoft Office Word</Application>
  <DocSecurity>0</DocSecurity>
  <Lines>314</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44546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Morgan ROHEL</cp:lastModifiedBy>
  <cp:revision>3</cp:revision>
  <cp:lastPrinted>2025-08-01T09:10:00Z</cp:lastPrinted>
  <dcterms:created xsi:type="dcterms:W3CDTF">2025-08-05T09:46:00Z</dcterms:created>
  <dcterms:modified xsi:type="dcterms:W3CDTF">2025-08-05T10:30:00Z</dcterms:modified>
</cp:coreProperties>
</file>